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pacing w:val="-18"/>
          <w:sz w:val="36"/>
          <w:szCs w:val="36"/>
        </w:rPr>
      </w:pPr>
      <w:r>
        <w:rPr>
          <w:rFonts w:hint="eastAsia"/>
          <w:b/>
          <w:spacing w:val="-18"/>
          <w:sz w:val="36"/>
          <w:szCs w:val="36"/>
        </w:rPr>
        <w:t>安徽商贸职业技术学院年度综合考核办法</w:t>
      </w:r>
      <w:r>
        <w:rPr>
          <w:rFonts w:hint="eastAsia"/>
          <w:b/>
          <w:i w:val="0"/>
          <w:caps w:val="0"/>
          <w:spacing w:val="-18"/>
          <w:sz w:val="36"/>
          <w:szCs w:val="36"/>
          <w:shd w:val="clear"/>
          <w:lang w:eastAsia="zh-CN"/>
        </w:rPr>
        <w:t>（</w:t>
      </w:r>
      <w:r>
        <w:rPr>
          <w:rFonts w:hint="eastAsia"/>
          <w:b/>
          <w:i w:val="0"/>
          <w:caps w:val="0"/>
          <w:spacing w:val="-18"/>
          <w:sz w:val="36"/>
          <w:szCs w:val="36"/>
          <w:shd w:val="clear"/>
        </w:rPr>
        <w:t>试行</w:t>
      </w:r>
      <w:r>
        <w:rPr>
          <w:rFonts w:hint="eastAsia"/>
          <w:b/>
          <w:i w:val="0"/>
          <w:caps w:val="0"/>
          <w:spacing w:val="-18"/>
          <w:sz w:val="36"/>
          <w:szCs w:val="36"/>
          <w:shd w:val="clear"/>
          <w:lang w:eastAsia="zh-CN"/>
        </w:rPr>
        <w:t>）</w:t>
      </w:r>
    </w:p>
    <w:p>
      <w:pPr>
        <w:jc w:val="center"/>
        <w:rPr>
          <w:b/>
          <w:sz w:val="28"/>
          <w:szCs w:val="28"/>
        </w:rPr>
      </w:pPr>
      <w:r>
        <w:rPr>
          <w:rFonts w:hint="eastAsia"/>
          <w:b/>
          <w:sz w:val="28"/>
          <w:szCs w:val="28"/>
        </w:rPr>
        <w:t>第一章</w:t>
      </w:r>
      <w:r>
        <w:rPr>
          <w:b/>
          <w:sz w:val="28"/>
          <w:szCs w:val="28"/>
        </w:rPr>
        <w:t xml:space="preserve">  </w:t>
      </w:r>
      <w:r>
        <w:rPr>
          <w:rFonts w:hint="eastAsia"/>
          <w:b/>
          <w:sz w:val="28"/>
          <w:szCs w:val="28"/>
        </w:rPr>
        <w:t>总则</w:t>
      </w:r>
    </w:p>
    <w:p>
      <w:pPr>
        <w:ind w:firstLine="560" w:firstLineChars="200"/>
        <w:rPr>
          <w:sz w:val="28"/>
          <w:szCs w:val="28"/>
        </w:rPr>
      </w:pPr>
      <w:r>
        <w:rPr>
          <w:rFonts w:hint="eastAsia"/>
          <w:sz w:val="28"/>
          <w:szCs w:val="28"/>
        </w:rPr>
        <w:t>第一条</w:t>
      </w:r>
      <w:r>
        <w:rPr>
          <w:sz w:val="28"/>
          <w:szCs w:val="28"/>
        </w:rPr>
        <w:t xml:space="preserve"> </w:t>
      </w:r>
      <w:r>
        <w:rPr>
          <w:rFonts w:hint="eastAsia"/>
          <w:sz w:val="28"/>
          <w:szCs w:val="28"/>
        </w:rPr>
        <w:t>为深化人事制度改革，准确评价部门和教职工工作实绩和服务水平，根据《事业单位人事管理条例》及安徽省人力资源和社会保障厅、安徽省教育厅等关于事业单位考核相关文件精神，结合学校实际，制定本办法。</w:t>
      </w:r>
      <w:bookmarkStart w:id="0" w:name="_GoBack"/>
      <w:bookmarkEnd w:id="0"/>
    </w:p>
    <w:p>
      <w:pPr>
        <w:ind w:firstLine="560" w:firstLineChars="200"/>
        <w:rPr>
          <w:sz w:val="28"/>
          <w:szCs w:val="28"/>
        </w:rPr>
      </w:pPr>
      <w:r>
        <w:rPr>
          <w:rFonts w:hint="eastAsia"/>
          <w:sz w:val="28"/>
          <w:szCs w:val="28"/>
        </w:rPr>
        <w:t>第二条</w:t>
      </w:r>
      <w:r>
        <w:rPr>
          <w:sz w:val="28"/>
          <w:szCs w:val="28"/>
        </w:rPr>
        <w:t xml:space="preserve"> </w:t>
      </w:r>
      <w:r>
        <w:rPr>
          <w:rFonts w:hint="eastAsia"/>
          <w:sz w:val="28"/>
          <w:szCs w:val="28"/>
        </w:rPr>
        <w:t>考核原则</w:t>
      </w:r>
    </w:p>
    <w:p>
      <w:pPr>
        <w:ind w:firstLine="560" w:firstLineChars="200"/>
        <w:rPr>
          <w:sz w:val="28"/>
          <w:szCs w:val="28"/>
        </w:rPr>
      </w:pPr>
      <w:r>
        <w:rPr>
          <w:rFonts w:hint="eastAsia"/>
          <w:sz w:val="28"/>
          <w:szCs w:val="28"/>
        </w:rPr>
        <w:t>（一）注重实绩、群众公认、公开公正的原则。</w:t>
      </w:r>
    </w:p>
    <w:p>
      <w:pPr>
        <w:ind w:firstLine="560" w:firstLineChars="200"/>
        <w:rPr>
          <w:sz w:val="28"/>
          <w:szCs w:val="28"/>
        </w:rPr>
      </w:pPr>
      <w:r>
        <w:rPr>
          <w:rFonts w:hint="eastAsia"/>
          <w:sz w:val="28"/>
          <w:szCs w:val="28"/>
        </w:rPr>
        <w:t>（二）分级、分类考核的原则。</w:t>
      </w:r>
    </w:p>
    <w:p>
      <w:pPr>
        <w:ind w:firstLine="560" w:firstLineChars="200"/>
        <w:rPr>
          <w:sz w:val="28"/>
          <w:szCs w:val="28"/>
        </w:rPr>
      </w:pPr>
      <w:r>
        <w:rPr>
          <w:rFonts w:hint="eastAsia"/>
          <w:sz w:val="28"/>
          <w:szCs w:val="28"/>
        </w:rPr>
        <w:t>（三）群众考核与领导考核相结合的原则。</w:t>
      </w:r>
    </w:p>
    <w:p>
      <w:pPr>
        <w:ind w:firstLine="560" w:firstLineChars="200"/>
        <w:rPr>
          <w:sz w:val="28"/>
          <w:szCs w:val="28"/>
        </w:rPr>
      </w:pPr>
      <w:r>
        <w:rPr>
          <w:rFonts w:hint="eastAsia"/>
          <w:sz w:val="28"/>
          <w:szCs w:val="28"/>
        </w:rPr>
        <w:t>第三条</w:t>
      </w:r>
      <w:r>
        <w:rPr>
          <w:sz w:val="28"/>
          <w:szCs w:val="28"/>
        </w:rPr>
        <w:t xml:space="preserve"> </w:t>
      </w:r>
      <w:r>
        <w:rPr>
          <w:rFonts w:hint="eastAsia"/>
          <w:sz w:val="28"/>
          <w:szCs w:val="28"/>
        </w:rPr>
        <w:t>考核对象</w:t>
      </w:r>
    </w:p>
    <w:p>
      <w:pPr>
        <w:ind w:firstLine="560" w:firstLineChars="200"/>
        <w:rPr>
          <w:sz w:val="28"/>
          <w:szCs w:val="28"/>
        </w:rPr>
      </w:pPr>
      <w:r>
        <w:rPr>
          <w:rFonts w:hint="eastAsia"/>
          <w:sz w:val="28"/>
          <w:szCs w:val="28"/>
        </w:rPr>
        <w:t>学校直属的二级机构（含正科级建制的独立部门，下同）以及二级机构所属的工作人员。</w:t>
      </w:r>
    </w:p>
    <w:p>
      <w:pPr>
        <w:ind w:left="561" w:leftChars="267"/>
        <w:rPr>
          <w:sz w:val="28"/>
          <w:szCs w:val="28"/>
        </w:rPr>
      </w:pPr>
      <w:r>
        <w:rPr>
          <w:rFonts w:hint="eastAsia"/>
          <w:sz w:val="28"/>
          <w:szCs w:val="28"/>
        </w:rPr>
        <w:t>第四条</w:t>
      </w:r>
      <w:r>
        <w:rPr>
          <w:sz w:val="28"/>
          <w:szCs w:val="28"/>
        </w:rPr>
        <w:t xml:space="preserve"> </w:t>
      </w:r>
      <w:r>
        <w:rPr>
          <w:rFonts w:hint="eastAsia"/>
          <w:sz w:val="28"/>
          <w:szCs w:val="28"/>
        </w:rPr>
        <w:t>考核组织</w:t>
      </w:r>
    </w:p>
    <w:p>
      <w:pPr>
        <w:ind w:firstLine="560" w:firstLineChars="200"/>
        <w:rPr>
          <w:sz w:val="28"/>
          <w:szCs w:val="28"/>
        </w:rPr>
      </w:pPr>
      <w:r>
        <w:rPr>
          <w:rFonts w:hint="eastAsia"/>
          <w:sz w:val="28"/>
          <w:szCs w:val="28"/>
        </w:rPr>
        <w:t>学校成立年度考核领导小组，负责研究和决定学校年度考核中的重大问题，组织协调年度考核工作，对各系部和行政部门的工作目标完成情况进行考核，对年度考核的结果进行审定。学校考核领导小组一般由校领导组成。</w:t>
      </w:r>
    </w:p>
    <w:p>
      <w:pPr>
        <w:ind w:firstLine="560" w:firstLineChars="200"/>
        <w:rPr>
          <w:sz w:val="28"/>
          <w:szCs w:val="28"/>
        </w:rPr>
      </w:pPr>
      <w:r>
        <w:rPr>
          <w:rFonts w:hint="eastAsia"/>
          <w:sz w:val="28"/>
          <w:szCs w:val="28"/>
        </w:rPr>
        <w:t>年度考核领导小组下设工作组，工作组由相关部门负责人、教职工代表组成。年度考核工作的具体组织实施由组织人事处负责，工作人员从有关部门抽调，纪委参加监督。</w:t>
      </w:r>
    </w:p>
    <w:p>
      <w:pPr>
        <w:ind w:firstLine="560" w:firstLineChars="200"/>
        <w:rPr>
          <w:sz w:val="28"/>
          <w:szCs w:val="28"/>
        </w:rPr>
      </w:pPr>
      <w:r>
        <w:rPr>
          <w:rFonts w:hint="eastAsia"/>
          <w:sz w:val="28"/>
          <w:szCs w:val="28"/>
        </w:rPr>
        <w:t>各系部、各行政部门成立本单位考核工作组，具体负责年度考核工作，各系部考核工作组原则上为</w:t>
      </w:r>
      <w:r>
        <w:rPr>
          <w:sz w:val="28"/>
          <w:szCs w:val="28"/>
        </w:rPr>
        <w:t>5</w:t>
      </w:r>
      <w:r>
        <w:rPr>
          <w:rFonts w:hint="eastAsia"/>
          <w:sz w:val="28"/>
          <w:szCs w:val="28"/>
        </w:rPr>
        <w:t>至</w:t>
      </w:r>
      <w:r>
        <w:rPr>
          <w:sz w:val="28"/>
          <w:szCs w:val="28"/>
        </w:rPr>
        <w:t>7</w:t>
      </w:r>
      <w:r>
        <w:rPr>
          <w:rFonts w:hint="eastAsia"/>
          <w:sz w:val="28"/>
          <w:szCs w:val="28"/>
        </w:rPr>
        <w:t>人；行政部门考核工作组原则上为</w:t>
      </w:r>
      <w:r>
        <w:rPr>
          <w:sz w:val="28"/>
          <w:szCs w:val="28"/>
        </w:rPr>
        <w:t>3</w:t>
      </w:r>
      <w:r>
        <w:rPr>
          <w:rFonts w:hint="eastAsia"/>
          <w:sz w:val="28"/>
          <w:szCs w:val="28"/>
        </w:rPr>
        <w:t>至</w:t>
      </w:r>
      <w:r>
        <w:rPr>
          <w:sz w:val="28"/>
          <w:szCs w:val="28"/>
        </w:rPr>
        <w:t>5</w:t>
      </w:r>
      <w:r>
        <w:rPr>
          <w:rFonts w:hint="eastAsia"/>
          <w:sz w:val="28"/>
          <w:szCs w:val="28"/>
        </w:rPr>
        <w:t>人，人数少于</w:t>
      </w:r>
      <w:r>
        <w:rPr>
          <w:sz w:val="28"/>
          <w:szCs w:val="28"/>
        </w:rPr>
        <w:t>3</w:t>
      </w:r>
      <w:r>
        <w:rPr>
          <w:rFonts w:hint="eastAsia"/>
          <w:sz w:val="28"/>
          <w:szCs w:val="28"/>
        </w:rPr>
        <w:t>人的部门，从本部门工作相关人员中抽调。</w:t>
      </w:r>
    </w:p>
    <w:p>
      <w:pPr>
        <w:ind w:firstLine="560" w:firstLineChars="200"/>
        <w:rPr>
          <w:sz w:val="28"/>
          <w:szCs w:val="28"/>
        </w:rPr>
      </w:pPr>
      <w:r>
        <w:rPr>
          <w:rFonts w:hint="eastAsia"/>
          <w:sz w:val="28"/>
          <w:szCs w:val="28"/>
        </w:rPr>
        <w:t>第五条</w:t>
      </w:r>
      <w:r>
        <w:rPr>
          <w:sz w:val="28"/>
          <w:szCs w:val="28"/>
        </w:rPr>
        <w:t xml:space="preserve"> </w:t>
      </w:r>
      <w:r>
        <w:rPr>
          <w:rFonts w:hint="eastAsia"/>
          <w:sz w:val="28"/>
          <w:szCs w:val="28"/>
        </w:rPr>
        <w:t>考核时间</w:t>
      </w:r>
    </w:p>
    <w:p>
      <w:pPr>
        <w:ind w:firstLine="560" w:firstLineChars="200"/>
        <w:rPr>
          <w:sz w:val="28"/>
          <w:szCs w:val="28"/>
        </w:rPr>
      </w:pPr>
      <w:r>
        <w:rPr>
          <w:rFonts w:hint="eastAsia"/>
          <w:sz w:val="28"/>
          <w:szCs w:val="28"/>
        </w:rPr>
        <w:t>一般在每年年终或次年年初进行。</w:t>
      </w:r>
    </w:p>
    <w:p>
      <w:pPr>
        <w:ind w:firstLine="562" w:firstLineChars="200"/>
        <w:jc w:val="center"/>
        <w:rPr>
          <w:b/>
          <w:sz w:val="28"/>
          <w:szCs w:val="28"/>
        </w:rPr>
      </w:pPr>
      <w:r>
        <w:rPr>
          <w:rFonts w:hint="eastAsia"/>
          <w:b/>
          <w:sz w:val="28"/>
          <w:szCs w:val="28"/>
        </w:rPr>
        <w:t>第二章</w:t>
      </w:r>
      <w:r>
        <w:rPr>
          <w:b/>
          <w:sz w:val="28"/>
          <w:szCs w:val="28"/>
        </w:rPr>
        <w:t xml:space="preserve">  </w:t>
      </w:r>
      <w:r>
        <w:rPr>
          <w:rFonts w:hint="eastAsia"/>
          <w:b/>
          <w:sz w:val="28"/>
          <w:szCs w:val="28"/>
        </w:rPr>
        <w:t>二级机构考核</w:t>
      </w:r>
    </w:p>
    <w:p>
      <w:pPr>
        <w:ind w:firstLine="560" w:firstLineChars="200"/>
        <w:rPr>
          <w:sz w:val="28"/>
          <w:szCs w:val="28"/>
        </w:rPr>
      </w:pPr>
      <w:r>
        <w:rPr>
          <w:rFonts w:hint="eastAsia"/>
          <w:sz w:val="28"/>
          <w:szCs w:val="28"/>
        </w:rPr>
        <w:t>第六条</w:t>
      </w:r>
      <w:r>
        <w:rPr>
          <w:sz w:val="28"/>
          <w:szCs w:val="28"/>
        </w:rPr>
        <w:t xml:space="preserve"> </w:t>
      </w:r>
      <w:r>
        <w:rPr>
          <w:rFonts w:hint="eastAsia"/>
          <w:sz w:val="28"/>
          <w:szCs w:val="28"/>
        </w:rPr>
        <w:t>二级机构考核分为系部和行政部门两大类分别进行考核。</w:t>
      </w:r>
    </w:p>
    <w:p>
      <w:pPr>
        <w:ind w:firstLine="560" w:firstLineChars="200"/>
        <w:rPr>
          <w:sz w:val="28"/>
          <w:szCs w:val="28"/>
        </w:rPr>
      </w:pPr>
      <w:r>
        <w:rPr>
          <w:rFonts w:hint="eastAsia"/>
          <w:sz w:val="28"/>
          <w:szCs w:val="28"/>
        </w:rPr>
        <w:t>系部包括经济贸易系、工商管理系、会计系、财务金融系、电子信息工程系、艺术设计系、人文外语系、体育教学部、思政教学部等；其他二级机构列入行政部门。</w:t>
      </w:r>
    </w:p>
    <w:p>
      <w:pPr>
        <w:ind w:firstLine="560" w:firstLineChars="200"/>
        <w:rPr>
          <w:sz w:val="28"/>
          <w:szCs w:val="28"/>
        </w:rPr>
      </w:pPr>
      <w:r>
        <w:rPr>
          <w:rFonts w:hint="eastAsia"/>
          <w:sz w:val="28"/>
          <w:szCs w:val="28"/>
        </w:rPr>
        <w:t>第七条</w:t>
      </w:r>
      <w:r>
        <w:rPr>
          <w:sz w:val="28"/>
          <w:szCs w:val="28"/>
        </w:rPr>
        <w:t xml:space="preserve"> </w:t>
      </w:r>
      <w:r>
        <w:rPr>
          <w:rFonts w:hint="eastAsia"/>
          <w:sz w:val="28"/>
          <w:szCs w:val="28"/>
        </w:rPr>
        <w:t>对二级机构的考核内容主要包括党建和思想政治工作、完成年度工作目标任务情况、履行职责情况、管理创新情况、服务水平、廉政建设和安全稳定等情况。</w:t>
      </w:r>
    </w:p>
    <w:p>
      <w:pPr>
        <w:ind w:firstLine="560" w:firstLineChars="200"/>
        <w:rPr>
          <w:sz w:val="28"/>
          <w:szCs w:val="28"/>
        </w:rPr>
      </w:pPr>
      <w:r>
        <w:rPr>
          <w:rFonts w:hint="eastAsia"/>
          <w:sz w:val="28"/>
          <w:szCs w:val="28"/>
        </w:rPr>
        <w:t>（一）对系部的考核主要包括党建和思想政治工作、教学工作和人才培养、学生工作或育人工作、专业建设、教科研工作、实训基地建设、师资队伍建设、廉政建设和安全稳定等内容。</w:t>
      </w:r>
    </w:p>
    <w:p>
      <w:pPr>
        <w:ind w:firstLine="560" w:firstLineChars="200"/>
        <w:rPr>
          <w:sz w:val="28"/>
          <w:szCs w:val="28"/>
        </w:rPr>
      </w:pPr>
      <w:r>
        <w:rPr>
          <w:rFonts w:hint="eastAsia"/>
          <w:sz w:val="28"/>
          <w:szCs w:val="28"/>
        </w:rPr>
        <w:t>（二）对行政部门的考核主要包括党建和思想政治工作、年度任务执行情况、履行部门职责情况、管理创新情况、服务水平、廉政建设等内容，重点考核工作实绩和管理服务水平。</w:t>
      </w:r>
    </w:p>
    <w:p>
      <w:pPr>
        <w:ind w:firstLine="560" w:firstLineChars="200"/>
        <w:rPr>
          <w:sz w:val="28"/>
          <w:szCs w:val="28"/>
        </w:rPr>
      </w:pPr>
      <w:r>
        <w:rPr>
          <w:rFonts w:hint="eastAsia"/>
          <w:sz w:val="28"/>
          <w:szCs w:val="28"/>
        </w:rPr>
        <w:t>第八条</w:t>
      </w:r>
      <w:r>
        <w:rPr>
          <w:sz w:val="28"/>
          <w:szCs w:val="28"/>
        </w:rPr>
        <w:t xml:space="preserve"> </w:t>
      </w:r>
      <w:r>
        <w:rPr>
          <w:rFonts w:hint="eastAsia"/>
          <w:sz w:val="28"/>
          <w:szCs w:val="28"/>
        </w:rPr>
        <w:t>考核办法</w:t>
      </w:r>
    </w:p>
    <w:p>
      <w:pPr>
        <w:ind w:firstLine="560" w:firstLineChars="200"/>
        <w:rPr>
          <w:sz w:val="28"/>
          <w:szCs w:val="28"/>
        </w:rPr>
      </w:pPr>
      <w:r>
        <w:rPr>
          <w:rFonts w:hint="eastAsia"/>
          <w:sz w:val="28"/>
          <w:szCs w:val="28"/>
        </w:rPr>
        <w:t>对二级机构的考核应当以工作实绩为内容，以服务对象满意度为基础，对年度目标任务完成情况、职责履行情况、管理创新情况、服务水平、廉政建设和安全稳定情况等进行全面考核。</w:t>
      </w:r>
    </w:p>
    <w:p>
      <w:pPr>
        <w:ind w:firstLine="560" w:firstLineChars="200"/>
        <w:rPr>
          <w:sz w:val="28"/>
          <w:szCs w:val="28"/>
        </w:rPr>
      </w:pPr>
      <w:r>
        <w:rPr>
          <w:rFonts w:hint="eastAsia"/>
          <w:sz w:val="28"/>
          <w:szCs w:val="28"/>
        </w:rPr>
        <w:t>（一）</w:t>
      </w:r>
      <w:r>
        <w:rPr>
          <w:sz w:val="28"/>
          <w:szCs w:val="28"/>
        </w:rPr>
        <w:t xml:space="preserve"> </w:t>
      </w:r>
      <w:r>
        <w:rPr>
          <w:rFonts w:hint="eastAsia"/>
          <w:sz w:val="28"/>
          <w:szCs w:val="28"/>
        </w:rPr>
        <w:t>系部考核由校领导和有关行政部门在系部负责人公开述职的基础上根据部门年度工作表现按照部门考核测评系列表格（见附件）进行评价，总分为</w:t>
      </w:r>
      <w:r>
        <w:rPr>
          <w:sz w:val="28"/>
          <w:szCs w:val="28"/>
        </w:rPr>
        <w:t>100</w:t>
      </w:r>
      <w:r>
        <w:rPr>
          <w:rFonts w:hint="eastAsia"/>
          <w:sz w:val="28"/>
          <w:szCs w:val="28"/>
        </w:rPr>
        <w:t>分。其中校领导测评占总分</w:t>
      </w:r>
      <w:r>
        <w:rPr>
          <w:sz w:val="28"/>
          <w:szCs w:val="28"/>
        </w:rPr>
        <w:t>40%</w:t>
      </w:r>
      <w:r>
        <w:rPr>
          <w:rFonts w:hint="eastAsia"/>
          <w:sz w:val="28"/>
          <w:szCs w:val="28"/>
        </w:rPr>
        <w:t>，行政部门测评占总分</w:t>
      </w:r>
      <w:r>
        <w:rPr>
          <w:sz w:val="28"/>
          <w:szCs w:val="28"/>
        </w:rPr>
        <w:t>60%</w:t>
      </w:r>
      <w:r>
        <w:rPr>
          <w:rFonts w:hint="eastAsia"/>
          <w:sz w:val="28"/>
          <w:szCs w:val="28"/>
        </w:rPr>
        <w:t>。</w:t>
      </w:r>
    </w:p>
    <w:p>
      <w:pPr>
        <w:ind w:firstLine="560" w:firstLineChars="200"/>
        <w:rPr>
          <w:sz w:val="28"/>
          <w:szCs w:val="28"/>
        </w:rPr>
      </w:pPr>
      <w:r>
        <w:rPr>
          <w:rFonts w:hint="eastAsia"/>
          <w:sz w:val="28"/>
          <w:szCs w:val="28"/>
        </w:rPr>
        <w:t>（二）</w:t>
      </w:r>
      <w:r>
        <w:rPr>
          <w:sz w:val="28"/>
          <w:szCs w:val="28"/>
        </w:rPr>
        <w:t xml:space="preserve"> </w:t>
      </w:r>
      <w:r>
        <w:rPr>
          <w:rFonts w:hint="eastAsia"/>
          <w:sz w:val="28"/>
          <w:szCs w:val="28"/>
        </w:rPr>
        <w:t>行政部门考核由校领导、系部和行政部门在行政部门负责人公开述职的基础上根据部门年度工作表现按照部门考核测评系列表格（见附件）进行评价，总分为</w:t>
      </w:r>
      <w:r>
        <w:rPr>
          <w:sz w:val="28"/>
          <w:szCs w:val="28"/>
        </w:rPr>
        <w:t>100</w:t>
      </w:r>
      <w:r>
        <w:rPr>
          <w:rFonts w:hint="eastAsia"/>
          <w:sz w:val="28"/>
          <w:szCs w:val="28"/>
        </w:rPr>
        <w:t>分。其中校领导测评占总分</w:t>
      </w:r>
      <w:r>
        <w:rPr>
          <w:sz w:val="28"/>
          <w:szCs w:val="28"/>
        </w:rPr>
        <w:t>40%</w:t>
      </w:r>
      <w:r>
        <w:rPr>
          <w:rFonts w:hint="eastAsia"/>
          <w:sz w:val="28"/>
          <w:szCs w:val="28"/>
        </w:rPr>
        <w:t>，系部测评占总分</w:t>
      </w:r>
      <w:r>
        <w:rPr>
          <w:sz w:val="28"/>
          <w:szCs w:val="28"/>
        </w:rPr>
        <w:t>30%</w:t>
      </w:r>
      <w:r>
        <w:rPr>
          <w:rFonts w:hint="eastAsia"/>
          <w:sz w:val="28"/>
          <w:szCs w:val="28"/>
        </w:rPr>
        <w:t>，行政部门互评占总分</w:t>
      </w:r>
      <w:r>
        <w:rPr>
          <w:sz w:val="28"/>
          <w:szCs w:val="28"/>
        </w:rPr>
        <w:t>30%</w:t>
      </w:r>
      <w:r>
        <w:rPr>
          <w:rFonts w:hint="eastAsia"/>
          <w:sz w:val="28"/>
          <w:szCs w:val="28"/>
        </w:rPr>
        <w:t>。</w:t>
      </w:r>
    </w:p>
    <w:p>
      <w:pPr>
        <w:ind w:firstLine="560" w:firstLineChars="200"/>
        <w:rPr>
          <w:sz w:val="28"/>
          <w:szCs w:val="28"/>
        </w:rPr>
      </w:pPr>
      <w:r>
        <w:rPr>
          <w:rFonts w:hint="eastAsia"/>
          <w:sz w:val="28"/>
          <w:szCs w:val="28"/>
        </w:rPr>
        <w:t>各二级机构分别制定相应的考核实施细则，并报学校考核领导小组办公室备案。</w:t>
      </w:r>
    </w:p>
    <w:p>
      <w:pPr>
        <w:ind w:firstLine="560" w:firstLineChars="200"/>
        <w:rPr>
          <w:sz w:val="28"/>
          <w:szCs w:val="28"/>
        </w:rPr>
      </w:pPr>
      <w:r>
        <w:rPr>
          <w:rFonts w:hint="eastAsia"/>
          <w:sz w:val="28"/>
          <w:szCs w:val="28"/>
        </w:rPr>
        <w:t>第九条</w:t>
      </w:r>
      <w:r>
        <w:rPr>
          <w:sz w:val="28"/>
          <w:szCs w:val="28"/>
        </w:rPr>
        <w:t xml:space="preserve"> </w:t>
      </w:r>
      <w:r>
        <w:rPr>
          <w:rFonts w:hint="eastAsia"/>
          <w:sz w:val="28"/>
          <w:szCs w:val="28"/>
        </w:rPr>
        <w:t>根据二级机构考核得分确定考核等次。考核的等次分为优秀（</w:t>
      </w:r>
      <w:r>
        <w:rPr>
          <w:sz w:val="28"/>
          <w:szCs w:val="28"/>
        </w:rPr>
        <w:t>90</w:t>
      </w:r>
      <w:r>
        <w:rPr>
          <w:rFonts w:hint="eastAsia"/>
          <w:sz w:val="28"/>
          <w:szCs w:val="28"/>
        </w:rPr>
        <w:t>分及以上）、良好（</w:t>
      </w:r>
      <w:r>
        <w:rPr>
          <w:sz w:val="28"/>
          <w:szCs w:val="28"/>
        </w:rPr>
        <w:t>80</w:t>
      </w:r>
      <w:r>
        <w:rPr>
          <w:rFonts w:hint="eastAsia"/>
          <w:sz w:val="28"/>
          <w:szCs w:val="28"/>
        </w:rPr>
        <w:t>分及以上）、合格（</w:t>
      </w:r>
      <w:r>
        <w:rPr>
          <w:sz w:val="28"/>
          <w:szCs w:val="28"/>
        </w:rPr>
        <w:t>60</w:t>
      </w:r>
      <w:r>
        <w:rPr>
          <w:rFonts w:hint="eastAsia"/>
          <w:sz w:val="28"/>
          <w:szCs w:val="28"/>
        </w:rPr>
        <w:t>分及以上）、不合格（</w:t>
      </w:r>
      <w:r>
        <w:rPr>
          <w:sz w:val="28"/>
          <w:szCs w:val="28"/>
        </w:rPr>
        <w:t>60</w:t>
      </w:r>
      <w:r>
        <w:rPr>
          <w:rFonts w:hint="eastAsia"/>
          <w:sz w:val="28"/>
          <w:szCs w:val="28"/>
        </w:rPr>
        <w:t>分以下）四种。优秀等次是按得分从高到低顺序排序后，按考核基数</w:t>
      </w:r>
      <w:r>
        <w:rPr>
          <w:sz w:val="28"/>
          <w:szCs w:val="28"/>
        </w:rPr>
        <w:t>20%</w:t>
      </w:r>
      <w:r>
        <w:rPr>
          <w:rFonts w:hint="eastAsia"/>
          <w:sz w:val="28"/>
          <w:szCs w:val="28"/>
        </w:rPr>
        <w:t>左右的比例进行遴选。</w:t>
      </w:r>
    </w:p>
    <w:p>
      <w:pPr>
        <w:ind w:firstLine="560" w:firstLineChars="200"/>
        <w:rPr>
          <w:sz w:val="28"/>
          <w:szCs w:val="28"/>
        </w:rPr>
      </w:pPr>
      <w:r>
        <w:rPr>
          <w:rFonts w:hint="eastAsia"/>
          <w:sz w:val="28"/>
          <w:szCs w:val="28"/>
        </w:rPr>
        <w:t>第十条</w:t>
      </w:r>
      <w:r>
        <w:rPr>
          <w:sz w:val="28"/>
          <w:szCs w:val="28"/>
        </w:rPr>
        <w:t xml:space="preserve"> </w:t>
      </w:r>
      <w:r>
        <w:rPr>
          <w:rFonts w:hint="eastAsia"/>
          <w:sz w:val="28"/>
          <w:szCs w:val="28"/>
        </w:rPr>
        <w:t>考核程序</w:t>
      </w:r>
    </w:p>
    <w:p>
      <w:pPr>
        <w:ind w:firstLine="560" w:firstLineChars="200"/>
        <w:rPr>
          <w:sz w:val="28"/>
          <w:szCs w:val="28"/>
        </w:rPr>
      </w:pPr>
      <w:r>
        <w:rPr>
          <w:rFonts w:hint="eastAsia"/>
          <w:sz w:val="28"/>
          <w:szCs w:val="28"/>
        </w:rPr>
        <w:t>（一）总结自评。年终，各系部和行政部门对照年初工作目标和工作计划，进行工作总结，根据考核办法进行自评。</w:t>
      </w:r>
    </w:p>
    <w:p>
      <w:pPr>
        <w:ind w:firstLine="560" w:firstLineChars="200"/>
        <w:rPr>
          <w:sz w:val="28"/>
          <w:szCs w:val="28"/>
        </w:rPr>
      </w:pPr>
      <w:r>
        <w:rPr>
          <w:rFonts w:hint="eastAsia"/>
          <w:sz w:val="28"/>
          <w:szCs w:val="28"/>
        </w:rPr>
        <w:t>（二）实施测评。由系部和行政部门负责人进行公开述职，在听取部门述职的基础上，结合平时工作实际进行考核测评（表一、表二、表三、表四、表五）。如有需要，可以调阅相关资料。</w:t>
      </w:r>
    </w:p>
    <w:p>
      <w:pPr>
        <w:ind w:firstLine="560" w:firstLineChars="200"/>
        <w:rPr>
          <w:sz w:val="28"/>
          <w:szCs w:val="28"/>
        </w:rPr>
      </w:pPr>
      <w:r>
        <w:rPr>
          <w:rFonts w:hint="eastAsia"/>
          <w:sz w:val="28"/>
          <w:szCs w:val="28"/>
        </w:rPr>
        <w:t>（三）汇总统计。考核工作领导小组办公室汇总各考核组测评结果，按本办法第八条规定的比例对数据进行折算（除表三外，求平均时去掉一个最高分和一个最低分），将统计结果报学校考核工作领导小组。</w:t>
      </w:r>
    </w:p>
    <w:p>
      <w:pPr>
        <w:ind w:firstLine="560" w:firstLineChars="200"/>
        <w:rPr>
          <w:sz w:val="28"/>
          <w:szCs w:val="28"/>
        </w:rPr>
      </w:pPr>
      <w:r>
        <w:rPr>
          <w:rFonts w:hint="eastAsia"/>
          <w:sz w:val="28"/>
          <w:szCs w:val="28"/>
        </w:rPr>
        <w:t>（四）研究审定。学校考核工作领导小组综合各系部和行政部门测评结果，提出考核结果建议，报学校党委会议审定后公示。</w:t>
      </w:r>
    </w:p>
    <w:p>
      <w:pPr>
        <w:ind w:firstLine="560" w:firstLineChars="200"/>
        <w:rPr>
          <w:sz w:val="28"/>
          <w:szCs w:val="28"/>
        </w:rPr>
      </w:pPr>
      <w:r>
        <w:rPr>
          <w:rFonts w:hint="eastAsia"/>
          <w:sz w:val="28"/>
          <w:szCs w:val="28"/>
        </w:rPr>
        <w:t>第十一条</w:t>
      </w:r>
      <w:r>
        <w:rPr>
          <w:sz w:val="28"/>
          <w:szCs w:val="28"/>
        </w:rPr>
        <w:t xml:space="preserve"> </w:t>
      </w:r>
      <w:r>
        <w:rPr>
          <w:rFonts w:hint="eastAsia"/>
          <w:sz w:val="28"/>
          <w:szCs w:val="28"/>
        </w:rPr>
        <w:t>有以下情况者，二级机构考核结果为不合格等次：在考核年度内二级机构内部出现重大责任事故，并给学校造成严重经济损失或严重损害学校形象和声誉的。</w:t>
      </w:r>
    </w:p>
    <w:p>
      <w:pPr>
        <w:ind w:firstLine="560" w:firstLineChars="200"/>
        <w:rPr>
          <w:sz w:val="28"/>
          <w:szCs w:val="28"/>
        </w:rPr>
      </w:pPr>
      <w:r>
        <w:rPr>
          <w:rFonts w:hint="eastAsia"/>
          <w:sz w:val="28"/>
          <w:szCs w:val="28"/>
        </w:rPr>
        <w:t>第十二条</w:t>
      </w:r>
      <w:r>
        <w:rPr>
          <w:sz w:val="28"/>
          <w:szCs w:val="28"/>
        </w:rPr>
        <w:t xml:space="preserve"> </w:t>
      </w:r>
      <w:r>
        <w:rPr>
          <w:rFonts w:hint="eastAsia"/>
          <w:sz w:val="28"/>
          <w:szCs w:val="28"/>
        </w:rPr>
        <w:t>二级机构考核结果确定后，应在校内一定范围公布，对考核结果有异议的，应在结果公布后三日内向学校考核领导小组申请复议。</w:t>
      </w:r>
    </w:p>
    <w:p>
      <w:pPr>
        <w:ind w:firstLine="560" w:firstLineChars="200"/>
        <w:rPr>
          <w:sz w:val="28"/>
          <w:szCs w:val="28"/>
        </w:rPr>
      </w:pPr>
      <w:r>
        <w:rPr>
          <w:rFonts w:hint="eastAsia"/>
          <w:sz w:val="28"/>
          <w:szCs w:val="28"/>
        </w:rPr>
        <w:t>第十三条</w:t>
      </w:r>
      <w:r>
        <w:rPr>
          <w:sz w:val="28"/>
          <w:szCs w:val="28"/>
        </w:rPr>
        <w:t xml:space="preserve"> </w:t>
      </w:r>
      <w:r>
        <w:rPr>
          <w:rFonts w:hint="eastAsia"/>
          <w:sz w:val="28"/>
          <w:szCs w:val="28"/>
        </w:rPr>
        <w:t>二级机构考核结果的使用</w:t>
      </w:r>
    </w:p>
    <w:p>
      <w:pPr>
        <w:ind w:firstLine="560" w:firstLineChars="200"/>
        <w:rPr>
          <w:sz w:val="28"/>
          <w:szCs w:val="28"/>
        </w:rPr>
      </w:pPr>
      <w:r>
        <w:rPr>
          <w:rFonts w:hint="eastAsia"/>
          <w:sz w:val="28"/>
          <w:szCs w:val="28"/>
        </w:rPr>
        <w:t>（一）考核为优秀的，学校给予二级机构一定的物质奖励，具体标准另定。</w:t>
      </w:r>
    </w:p>
    <w:p>
      <w:pPr>
        <w:ind w:firstLine="560" w:firstLineChars="200"/>
        <w:rPr>
          <w:sz w:val="28"/>
          <w:szCs w:val="28"/>
        </w:rPr>
      </w:pPr>
      <w:r>
        <w:rPr>
          <w:rFonts w:hint="eastAsia"/>
          <w:sz w:val="28"/>
          <w:szCs w:val="28"/>
        </w:rPr>
        <w:t>（二）考核为不合格的，二级机构所有人员年度考核不能为优秀，且二级机构党政主要负责人个人年度考核定为基本合格或不合格等次。</w:t>
      </w:r>
    </w:p>
    <w:p>
      <w:pPr>
        <w:ind w:firstLine="562" w:firstLineChars="200"/>
        <w:jc w:val="center"/>
        <w:rPr>
          <w:sz w:val="28"/>
          <w:szCs w:val="28"/>
        </w:rPr>
      </w:pPr>
      <w:r>
        <w:rPr>
          <w:rFonts w:hint="eastAsia"/>
          <w:b/>
          <w:sz w:val="28"/>
          <w:szCs w:val="28"/>
        </w:rPr>
        <w:t>第三章</w:t>
      </w:r>
      <w:r>
        <w:rPr>
          <w:b/>
          <w:sz w:val="28"/>
          <w:szCs w:val="28"/>
        </w:rPr>
        <w:t xml:space="preserve">  </w:t>
      </w:r>
      <w:r>
        <w:rPr>
          <w:rFonts w:hint="eastAsia"/>
          <w:b/>
          <w:sz w:val="28"/>
          <w:szCs w:val="28"/>
        </w:rPr>
        <w:t>个人考核</w:t>
      </w:r>
    </w:p>
    <w:p>
      <w:pPr>
        <w:ind w:firstLine="560" w:firstLineChars="200"/>
        <w:rPr>
          <w:sz w:val="28"/>
          <w:szCs w:val="28"/>
        </w:rPr>
      </w:pPr>
      <w:r>
        <w:rPr>
          <w:rFonts w:hint="eastAsia"/>
          <w:sz w:val="28"/>
          <w:szCs w:val="28"/>
        </w:rPr>
        <w:t>第十四条</w:t>
      </w:r>
      <w:r>
        <w:rPr>
          <w:sz w:val="28"/>
          <w:szCs w:val="28"/>
        </w:rPr>
        <w:t xml:space="preserve"> </w:t>
      </w:r>
      <w:r>
        <w:rPr>
          <w:rFonts w:hint="eastAsia"/>
          <w:sz w:val="28"/>
          <w:szCs w:val="28"/>
        </w:rPr>
        <w:t>二级机构负责人考核。二级机构负责人指学校系部和行政部门负责人（含副职，下同）。</w:t>
      </w:r>
    </w:p>
    <w:p>
      <w:pPr>
        <w:ind w:firstLine="560" w:firstLineChars="200"/>
        <w:rPr>
          <w:sz w:val="28"/>
          <w:szCs w:val="28"/>
        </w:rPr>
      </w:pPr>
      <w:r>
        <w:rPr>
          <w:rFonts w:hint="eastAsia"/>
          <w:sz w:val="28"/>
          <w:szCs w:val="28"/>
        </w:rPr>
        <w:t>（一）考核内容</w:t>
      </w:r>
    </w:p>
    <w:p>
      <w:pPr>
        <w:ind w:firstLine="560" w:firstLineChars="200"/>
        <w:rPr>
          <w:sz w:val="28"/>
          <w:szCs w:val="28"/>
        </w:rPr>
      </w:pPr>
      <w:r>
        <w:rPr>
          <w:rFonts w:hint="eastAsia"/>
          <w:sz w:val="28"/>
          <w:szCs w:val="28"/>
        </w:rPr>
        <w:t>主要考核完成工作情况和现实表现情况，主要包括履行岗位职责，组织完成学校党政工作要点中有关本单位工作任务情况；组织完成本单位制定的年度工作计划、任务目标情况；工作中改革创新情况和实际工作效果；工作作风、遵纪守法、管理创新、廉洁自律等情况。</w:t>
      </w:r>
    </w:p>
    <w:p>
      <w:pPr>
        <w:ind w:firstLine="560" w:firstLineChars="200"/>
        <w:rPr>
          <w:sz w:val="28"/>
          <w:szCs w:val="28"/>
        </w:rPr>
      </w:pPr>
      <w:r>
        <w:rPr>
          <w:rFonts w:hint="eastAsia"/>
          <w:sz w:val="28"/>
          <w:szCs w:val="28"/>
        </w:rPr>
        <w:t>（二）考核采用分类打分并通过加权的办法得出总分，分系部和行政部门两类，综合确定考核等次。</w:t>
      </w:r>
    </w:p>
    <w:p>
      <w:pPr>
        <w:ind w:firstLine="560" w:firstLineChars="200"/>
        <w:rPr>
          <w:sz w:val="28"/>
          <w:szCs w:val="28"/>
        </w:rPr>
      </w:pPr>
      <w:r>
        <w:rPr>
          <w:rFonts w:hint="eastAsia"/>
          <w:sz w:val="28"/>
          <w:szCs w:val="28"/>
        </w:rPr>
        <w:t>（三）考核办法：考核由三个部分组成：校领导考核，考核得分记为</w:t>
      </w:r>
      <w:r>
        <w:rPr>
          <w:sz w:val="28"/>
          <w:szCs w:val="28"/>
        </w:rPr>
        <w:t>A</w:t>
      </w:r>
      <w:r>
        <w:rPr>
          <w:rFonts w:hint="eastAsia"/>
          <w:sz w:val="28"/>
          <w:szCs w:val="28"/>
        </w:rPr>
        <w:t>；二级机构考核得分，记为</w:t>
      </w:r>
      <w:r>
        <w:rPr>
          <w:sz w:val="28"/>
          <w:szCs w:val="28"/>
        </w:rPr>
        <w:t>B</w:t>
      </w:r>
      <w:r>
        <w:rPr>
          <w:rFonts w:hint="eastAsia"/>
          <w:sz w:val="28"/>
          <w:szCs w:val="28"/>
        </w:rPr>
        <w:t>；中层干部、教职工代表和二级机构工作人员测评，测评得分记为</w:t>
      </w:r>
      <w:r>
        <w:rPr>
          <w:sz w:val="28"/>
          <w:szCs w:val="28"/>
        </w:rPr>
        <w:t>C</w:t>
      </w:r>
      <w:r>
        <w:rPr>
          <w:rFonts w:hint="eastAsia"/>
          <w:sz w:val="28"/>
          <w:szCs w:val="28"/>
        </w:rPr>
        <w:t>。最终二级机构负责人考核总分</w:t>
      </w:r>
      <w:r>
        <w:rPr>
          <w:sz w:val="28"/>
          <w:szCs w:val="28"/>
        </w:rPr>
        <w:t>T=0.2A+0.5B+0.3C</w:t>
      </w:r>
      <w:r>
        <w:rPr>
          <w:rFonts w:hint="eastAsia"/>
          <w:sz w:val="28"/>
          <w:szCs w:val="28"/>
        </w:rPr>
        <w:t>。</w:t>
      </w:r>
    </w:p>
    <w:p>
      <w:pPr>
        <w:ind w:firstLine="560" w:firstLineChars="200"/>
        <w:rPr>
          <w:sz w:val="28"/>
          <w:szCs w:val="28"/>
        </w:rPr>
      </w:pPr>
      <w:r>
        <w:rPr>
          <w:rFonts w:hint="eastAsia"/>
          <w:sz w:val="28"/>
          <w:szCs w:val="28"/>
        </w:rPr>
        <w:t>（四）二级机构负责人考核的等次分为优秀、良好、合格、不合格四种，确定等次的主要依据是考核总得分，系、部和行政部门的正、副职分别排序。优秀等次的比例一般控制在考核基数的</w:t>
      </w:r>
      <w:r>
        <w:rPr>
          <w:sz w:val="28"/>
          <w:szCs w:val="28"/>
        </w:rPr>
        <w:t>15%</w:t>
      </w:r>
      <w:r>
        <w:rPr>
          <w:rFonts w:hint="eastAsia"/>
          <w:sz w:val="28"/>
          <w:szCs w:val="28"/>
        </w:rPr>
        <w:t>左右，良好等次的比例一般控制在考核基数的5</w:t>
      </w:r>
      <w:r>
        <w:rPr>
          <w:sz w:val="28"/>
          <w:szCs w:val="28"/>
        </w:rPr>
        <w:t>5%</w:t>
      </w:r>
      <w:r>
        <w:rPr>
          <w:rFonts w:hint="eastAsia"/>
          <w:sz w:val="28"/>
          <w:szCs w:val="28"/>
        </w:rPr>
        <w:t>左右。</w:t>
      </w:r>
    </w:p>
    <w:p>
      <w:pPr>
        <w:ind w:firstLine="560" w:firstLineChars="200"/>
        <w:rPr>
          <w:sz w:val="28"/>
          <w:szCs w:val="28"/>
        </w:rPr>
      </w:pPr>
      <w:r>
        <w:rPr>
          <w:rFonts w:hint="eastAsia"/>
          <w:sz w:val="28"/>
          <w:szCs w:val="28"/>
        </w:rPr>
        <w:t>（五）考核程序</w:t>
      </w:r>
    </w:p>
    <w:p>
      <w:pPr>
        <w:ind w:firstLine="560" w:firstLineChars="200"/>
        <w:rPr>
          <w:sz w:val="28"/>
          <w:szCs w:val="28"/>
        </w:rPr>
      </w:pPr>
      <w:r>
        <w:rPr>
          <w:sz w:val="28"/>
          <w:szCs w:val="28"/>
        </w:rPr>
        <w:t>1.</w:t>
      </w:r>
      <w:r>
        <w:rPr>
          <w:rFonts w:hint="eastAsia"/>
          <w:sz w:val="28"/>
          <w:szCs w:val="28"/>
        </w:rPr>
        <w:t>校领导考核。校领导在二级机构负责人述职的基础上，根据平时掌握的情况，按照年度考核测评表（见表六），分别进行评分。</w:t>
      </w:r>
    </w:p>
    <w:p>
      <w:pPr>
        <w:ind w:firstLine="560" w:firstLineChars="200"/>
        <w:rPr>
          <w:sz w:val="28"/>
          <w:szCs w:val="28"/>
        </w:rPr>
      </w:pPr>
      <w:r>
        <w:rPr>
          <w:sz w:val="28"/>
          <w:szCs w:val="28"/>
        </w:rPr>
        <w:t xml:space="preserve">2. </w:t>
      </w:r>
      <w:r>
        <w:rPr>
          <w:rFonts w:hint="eastAsia"/>
          <w:sz w:val="28"/>
          <w:szCs w:val="28"/>
        </w:rPr>
        <w:t>中层干部、教职工代表和二级机构工作人员测评。由学校考核领导小组办公室负责组织。测评前，二级机构负责人应就个人年度工作进行述职。中层干部、教职工代表测评按照年度考核测评表（见表七）进行评分。二级机构工作人员测评按照年度考核测评表（见表八）进行评分，二级机构工作人员测评按如下规则进行：</w:t>
      </w:r>
    </w:p>
    <w:p>
      <w:pPr>
        <w:ind w:firstLine="560" w:firstLineChars="200"/>
        <w:rPr>
          <w:sz w:val="28"/>
          <w:szCs w:val="28"/>
        </w:rPr>
      </w:pPr>
      <w:r>
        <w:rPr>
          <w:rFonts w:hint="eastAsia"/>
          <w:sz w:val="28"/>
          <w:szCs w:val="28"/>
        </w:rPr>
        <w:t>（</w:t>
      </w:r>
      <w:r>
        <w:rPr>
          <w:sz w:val="28"/>
          <w:szCs w:val="28"/>
        </w:rPr>
        <w:t>1</w:t>
      </w:r>
      <w:r>
        <w:rPr>
          <w:rFonts w:hint="eastAsia"/>
          <w:sz w:val="28"/>
          <w:szCs w:val="28"/>
        </w:rPr>
        <w:t>）系部负责人，由该系部全体教职工对其进行测评（已参加中层干部测评会的不再重复参与）</w:t>
      </w:r>
    </w:p>
    <w:p>
      <w:pPr>
        <w:ind w:firstLine="560" w:firstLineChars="200"/>
        <w:rPr>
          <w:sz w:val="28"/>
          <w:szCs w:val="28"/>
        </w:rPr>
      </w:pPr>
      <w:r>
        <w:rPr>
          <w:rFonts w:hint="eastAsia"/>
          <w:sz w:val="28"/>
          <w:szCs w:val="28"/>
        </w:rPr>
        <w:t>（</w:t>
      </w:r>
      <w:r>
        <w:rPr>
          <w:sz w:val="28"/>
          <w:szCs w:val="28"/>
        </w:rPr>
        <w:t>2</w:t>
      </w:r>
      <w:r>
        <w:rPr>
          <w:rFonts w:hint="eastAsia"/>
          <w:sz w:val="28"/>
          <w:szCs w:val="28"/>
        </w:rPr>
        <w:t>）行政部门负责人，由该行政部门全体工作人员对其进行测评（已参加中层干部测评会的不再重复参与）。</w:t>
      </w:r>
    </w:p>
    <w:p>
      <w:pPr>
        <w:ind w:firstLine="560" w:firstLineChars="200"/>
        <w:rPr>
          <w:sz w:val="28"/>
          <w:szCs w:val="28"/>
        </w:rPr>
      </w:pPr>
      <w:r>
        <w:rPr>
          <w:rFonts w:hint="eastAsia"/>
          <w:sz w:val="28"/>
          <w:szCs w:val="28"/>
        </w:rPr>
        <w:t>中层干部和二级机构工作人员测评结果合并进行计算。</w:t>
      </w:r>
    </w:p>
    <w:p>
      <w:pPr>
        <w:ind w:firstLine="560" w:firstLineChars="200"/>
        <w:rPr>
          <w:sz w:val="28"/>
          <w:szCs w:val="28"/>
        </w:rPr>
      </w:pPr>
      <w:r>
        <w:rPr>
          <w:sz w:val="28"/>
          <w:szCs w:val="28"/>
        </w:rPr>
        <w:t>3.</w:t>
      </w:r>
      <w:r>
        <w:rPr>
          <w:rFonts w:hint="eastAsia"/>
          <w:sz w:val="28"/>
          <w:szCs w:val="28"/>
        </w:rPr>
        <w:t>测评分计算。测评得分</w:t>
      </w:r>
      <w:r>
        <w:rPr>
          <w:sz w:val="28"/>
          <w:szCs w:val="28"/>
        </w:rPr>
        <w:t>=</w:t>
      </w:r>
      <w:r>
        <w:rPr>
          <w:rFonts w:hint="eastAsia"/>
          <w:sz w:val="28"/>
          <w:szCs w:val="28"/>
        </w:rPr>
        <w:t>（优秀等次票数×</w:t>
      </w:r>
      <w:r>
        <w:rPr>
          <w:sz w:val="28"/>
          <w:szCs w:val="28"/>
        </w:rPr>
        <w:t>95+</w:t>
      </w:r>
      <w:r>
        <w:rPr>
          <w:rFonts w:hint="eastAsia"/>
          <w:sz w:val="28"/>
          <w:szCs w:val="28"/>
        </w:rPr>
        <w:t>良好等次票数×</w:t>
      </w:r>
      <w:r>
        <w:rPr>
          <w:sz w:val="28"/>
          <w:szCs w:val="28"/>
        </w:rPr>
        <w:t>85+</w:t>
      </w:r>
      <w:r>
        <w:rPr>
          <w:rFonts w:hint="eastAsia"/>
          <w:sz w:val="28"/>
          <w:szCs w:val="28"/>
        </w:rPr>
        <w:t>合格等次票数×</w:t>
      </w:r>
      <w:r>
        <w:rPr>
          <w:sz w:val="28"/>
          <w:szCs w:val="28"/>
        </w:rPr>
        <w:t>75+</w:t>
      </w:r>
      <w:r>
        <w:rPr>
          <w:rFonts w:hint="eastAsia"/>
          <w:sz w:val="28"/>
          <w:szCs w:val="28"/>
        </w:rPr>
        <w:t>不合格等次票数×</w:t>
      </w:r>
      <w:r>
        <w:rPr>
          <w:sz w:val="28"/>
          <w:szCs w:val="28"/>
        </w:rPr>
        <w:t>50+</w:t>
      </w:r>
      <w:r>
        <w:rPr>
          <w:rFonts w:hint="eastAsia"/>
          <w:sz w:val="28"/>
          <w:szCs w:val="28"/>
        </w:rPr>
        <w:t>弃权票数×</w:t>
      </w:r>
      <w:r>
        <w:rPr>
          <w:sz w:val="28"/>
          <w:szCs w:val="28"/>
        </w:rPr>
        <w:t>55</w:t>
      </w:r>
      <w:r>
        <w:rPr>
          <w:rFonts w:hint="eastAsia"/>
          <w:sz w:val="28"/>
          <w:szCs w:val="28"/>
        </w:rPr>
        <w:t>）</w:t>
      </w:r>
      <w:r>
        <w:rPr>
          <w:sz w:val="28"/>
          <w:szCs w:val="28"/>
        </w:rPr>
        <w:t>/</w:t>
      </w:r>
      <w:r>
        <w:rPr>
          <w:rFonts w:hint="eastAsia"/>
          <w:sz w:val="28"/>
          <w:szCs w:val="28"/>
        </w:rPr>
        <w:t>总票数（其中求平均时去掉一个最高分和一个最低分）</w:t>
      </w:r>
    </w:p>
    <w:p>
      <w:pPr>
        <w:ind w:firstLine="560" w:firstLineChars="200"/>
        <w:rPr>
          <w:sz w:val="28"/>
          <w:szCs w:val="28"/>
        </w:rPr>
      </w:pPr>
      <w:r>
        <w:rPr>
          <w:rFonts w:hint="eastAsia"/>
          <w:sz w:val="28"/>
          <w:szCs w:val="28"/>
        </w:rPr>
        <w:t>（六）</w:t>
      </w:r>
      <w:r>
        <w:rPr>
          <w:sz w:val="28"/>
          <w:szCs w:val="28"/>
        </w:rPr>
        <w:t xml:space="preserve"> </w:t>
      </w:r>
      <w:r>
        <w:rPr>
          <w:rFonts w:hint="eastAsia"/>
          <w:sz w:val="28"/>
          <w:szCs w:val="28"/>
        </w:rPr>
        <w:t>在年度工作中有下列情形之一者，二级机构负责人不得评为优秀等级：</w:t>
      </w:r>
    </w:p>
    <w:p>
      <w:pPr>
        <w:ind w:firstLine="560" w:firstLineChars="200"/>
        <w:rPr>
          <w:sz w:val="28"/>
          <w:szCs w:val="28"/>
        </w:rPr>
      </w:pPr>
      <w:r>
        <w:rPr>
          <w:sz w:val="28"/>
          <w:szCs w:val="28"/>
        </w:rPr>
        <w:t>1.</w:t>
      </w:r>
      <w:r>
        <w:rPr>
          <w:rFonts w:hint="eastAsia"/>
          <w:sz w:val="28"/>
          <w:szCs w:val="28"/>
        </w:rPr>
        <w:t>所在二级机构年度考核为合格等级的；</w:t>
      </w:r>
    </w:p>
    <w:p>
      <w:pPr>
        <w:ind w:firstLine="560" w:firstLineChars="200"/>
        <w:rPr>
          <w:sz w:val="28"/>
          <w:szCs w:val="28"/>
        </w:rPr>
      </w:pPr>
      <w:r>
        <w:rPr>
          <w:sz w:val="28"/>
          <w:szCs w:val="28"/>
        </w:rPr>
        <w:t>2.</w:t>
      </w:r>
      <w:r>
        <w:rPr>
          <w:rFonts w:hint="eastAsia"/>
          <w:sz w:val="28"/>
          <w:szCs w:val="28"/>
        </w:rPr>
        <w:t>所在二级机构工作上出现较大失误或发生责任事故。</w:t>
      </w:r>
    </w:p>
    <w:p>
      <w:pPr>
        <w:ind w:firstLine="560" w:firstLineChars="200"/>
        <w:rPr>
          <w:sz w:val="28"/>
          <w:szCs w:val="28"/>
        </w:rPr>
      </w:pPr>
      <w:r>
        <w:rPr>
          <w:rFonts w:hint="eastAsia"/>
          <w:sz w:val="28"/>
          <w:szCs w:val="28"/>
        </w:rPr>
        <w:t>（七）考核结果确定后，在校内一定范围公布，对考核结果有异议的，应在结果公布后三日内向学校考核领导小组申请复议。考核结果连续两年为后3名的，由校领导进行约谈。</w:t>
      </w:r>
    </w:p>
    <w:p>
      <w:pPr>
        <w:ind w:firstLine="560" w:firstLineChars="200"/>
        <w:rPr>
          <w:sz w:val="28"/>
          <w:szCs w:val="28"/>
        </w:rPr>
      </w:pPr>
      <w:r>
        <w:rPr>
          <w:rFonts w:hint="eastAsia"/>
          <w:sz w:val="28"/>
          <w:szCs w:val="28"/>
        </w:rPr>
        <w:t>第十五条</w:t>
      </w:r>
      <w:r>
        <w:rPr>
          <w:sz w:val="28"/>
          <w:szCs w:val="28"/>
        </w:rPr>
        <w:t xml:space="preserve"> </w:t>
      </w:r>
      <w:r>
        <w:rPr>
          <w:rFonts w:hint="eastAsia"/>
          <w:sz w:val="28"/>
          <w:szCs w:val="28"/>
        </w:rPr>
        <w:t>其他工作人员的考核。其他工作人员指二级机构除负责人外的所有人员，合同制工作人员和劳务派遣人员参加考核，不占优秀指标。其他工作人员考核工作由学校统一安排，各二级机构组织实施。</w:t>
      </w:r>
    </w:p>
    <w:p>
      <w:pPr>
        <w:ind w:firstLine="560" w:firstLineChars="200"/>
        <w:rPr>
          <w:sz w:val="28"/>
          <w:szCs w:val="28"/>
        </w:rPr>
      </w:pPr>
      <w:r>
        <w:rPr>
          <w:rFonts w:hint="eastAsia"/>
          <w:sz w:val="28"/>
          <w:szCs w:val="28"/>
        </w:rPr>
        <w:t>（一）考核内容</w:t>
      </w:r>
    </w:p>
    <w:p>
      <w:pPr>
        <w:ind w:firstLine="560" w:firstLineChars="200"/>
        <w:rPr>
          <w:sz w:val="28"/>
          <w:szCs w:val="28"/>
        </w:rPr>
      </w:pPr>
      <w:r>
        <w:rPr>
          <w:sz w:val="28"/>
          <w:szCs w:val="28"/>
        </w:rPr>
        <w:t>1.</w:t>
      </w:r>
      <w:r>
        <w:rPr>
          <w:rFonts w:hint="eastAsia"/>
          <w:sz w:val="28"/>
          <w:szCs w:val="28"/>
        </w:rPr>
        <w:t>教学人员，重点考核是为人师表、教书育人、学术道德、实际承担及完成教学任务、教学科研成果、信息技术应用、参与教学改革、专业建设、课程建设、实训基地建设、社会服务等情况。教学工作量要求达到本教研室平均工作量或学校标准工作量，达不到的原则上不得评为优秀等级；学生评教成绩为不合格（低于</w:t>
      </w:r>
      <w:r>
        <w:rPr>
          <w:sz w:val="28"/>
          <w:szCs w:val="28"/>
        </w:rPr>
        <w:t>60</w:t>
      </w:r>
      <w:r>
        <w:rPr>
          <w:rFonts w:hint="eastAsia"/>
          <w:sz w:val="28"/>
          <w:szCs w:val="28"/>
        </w:rPr>
        <w:t>分）或居本系部后</w:t>
      </w:r>
      <w:r>
        <w:rPr>
          <w:sz w:val="28"/>
          <w:szCs w:val="28"/>
        </w:rPr>
        <w:t>10%</w:t>
      </w:r>
      <w:r>
        <w:rPr>
          <w:rFonts w:hint="eastAsia"/>
          <w:sz w:val="28"/>
          <w:szCs w:val="28"/>
        </w:rPr>
        <w:t>的（后</w:t>
      </w:r>
      <w:r>
        <w:rPr>
          <w:sz w:val="28"/>
          <w:szCs w:val="28"/>
        </w:rPr>
        <w:t>10%</w:t>
      </w:r>
      <w:r>
        <w:rPr>
          <w:rFonts w:hint="eastAsia"/>
          <w:sz w:val="28"/>
          <w:szCs w:val="28"/>
        </w:rPr>
        <w:t>不足</w:t>
      </w:r>
      <w:r>
        <w:rPr>
          <w:sz w:val="28"/>
          <w:szCs w:val="28"/>
        </w:rPr>
        <w:t>1</w:t>
      </w:r>
      <w:r>
        <w:rPr>
          <w:rFonts w:hint="eastAsia"/>
          <w:sz w:val="28"/>
          <w:szCs w:val="28"/>
        </w:rPr>
        <w:t>人的，则为最后一名）不得评为优秀等级。</w:t>
      </w:r>
    </w:p>
    <w:p>
      <w:pPr>
        <w:ind w:firstLine="560" w:firstLineChars="200"/>
        <w:rPr>
          <w:sz w:val="28"/>
          <w:szCs w:val="28"/>
        </w:rPr>
      </w:pPr>
      <w:r>
        <w:rPr>
          <w:sz w:val="28"/>
          <w:szCs w:val="28"/>
        </w:rPr>
        <w:t>2.</w:t>
      </w:r>
      <w:r>
        <w:rPr>
          <w:rFonts w:hint="eastAsia"/>
          <w:sz w:val="28"/>
          <w:szCs w:val="28"/>
        </w:rPr>
        <w:t>行政人员，重点考核履行岗位职责，完成本部门及科室制定的年度和学期工作计划、任务目标中有关本科室、本人的工作任务情况；完成领导交办的任务情况；工作中改革创新情况和实际工作效果。另外专职辅导员要求达到学校标准工作量，达不到的原则上不得评为优秀等级。</w:t>
      </w:r>
    </w:p>
    <w:p>
      <w:pPr>
        <w:ind w:firstLine="560" w:firstLineChars="200"/>
        <w:rPr>
          <w:sz w:val="28"/>
          <w:szCs w:val="28"/>
        </w:rPr>
      </w:pPr>
      <w:r>
        <w:rPr>
          <w:rFonts w:hint="eastAsia"/>
          <w:sz w:val="28"/>
          <w:szCs w:val="28"/>
        </w:rPr>
        <w:t>（二）各二级机构考核领导小组根据上述各类人员的专业、岗位特点，制定考核实施细则，报学校考核领导小组办公室备案，并组织落实考核工作。考核的等次分为优秀、合格、基本合格、不合格四种。优秀等次的比例按相关文件规定执行（部门优秀指标累计分年度执行），考核结果由各二级机构考核领导小组参考测评得分情况研究确定，经公示后，报学校考核领导小组审定。</w:t>
      </w:r>
    </w:p>
    <w:p>
      <w:pPr>
        <w:widowControl/>
        <w:ind w:firstLine="560" w:firstLineChars="200"/>
        <w:jc w:val="left"/>
        <w:rPr>
          <w:sz w:val="28"/>
          <w:szCs w:val="28"/>
        </w:rPr>
      </w:pPr>
      <w:r>
        <w:rPr>
          <w:rFonts w:hint="eastAsia"/>
          <w:sz w:val="28"/>
          <w:szCs w:val="28"/>
        </w:rPr>
        <w:t>（三）考核标准</w:t>
      </w:r>
    </w:p>
    <w:p>
      <w:pPr>
        <w:widowControl/>
        <w:ind w:firstLine="560" w:firstLineChars="200"/>
        <w:jc w:val="left"/>
        <w:rPr>
          <w:sz w:val="28"/>
          <w:szCs w:val="28"/>
        </w:rPr>
      </w:pPr>
      <w:r>
        <w:rPr>
          <w:sz w:val="28"/>
          <w:szCs w:val="28"/>
        </w:rPr>
        <w:t>1.</w:t>
      </w:r>
      <w:r>
        <w:rPr>
          <w:rFonts w:hint="eastAsia"/>
          <w:sz w:val="28"/>
          <w:szCs w:val="28"/>
        </w:rPr>
        <w:t>确定为优秀等次须具备下列条件：</w:t>
      </w:r>
    </w:p>
    <w:p>
      <w:pPr>
        <w:widowControl/>
        <w:ind w:firstLine="560" w:firstLineChars="200"/>
        <w:jc w:val="left"/>
        <w:rPr>
          <w:sz w:val="28"/>
          <w:szCs w:val="28"/>
        </w:rPr>
      </w:pPr>
      <w:r>
        <w:rPr>
          <w:rFonts w:hint="eastAsia"/>
          <w:sz w:val="28"/>
          <w:szCs w:val="28"/>
        </w:rPr>
        <w:t>（</w:t>
      </w:r>
      <w:r>
        <w:rPr>
          <w:sz w:val="28"/>
          <w:szCs w:val="28"/>
        </w:rPr>
        <w:t>1</w:t>
      </w:r>
      <w:r>
        <w:rPr>
          <w:rFonts w:hint="eastAsia"/>
          <w:sz w:val="28"/>
          <w:szCs w:val="28"/>
        </w:rPr>
        <w:t>）遵纪守法，思想政治素质高，坚持改革创新，自觉贯彻落实党的路线、方针政策，具有模范的职业道德和良好的社会公德、家庭美德、个人品德；</w:t>
      </w:r>
    </w:p>
    <w:p>
      <w:pPr>
        <w:widowControl/>
        <w:ind w:firstLine="560" w:firstLineChars="200"/>
        <w:jc w:val="left"/>
        <w:rPr>
          <w:sz w:val="28"/>
          <w:szCs w:val="28"/>
        </w:rPr>
      </w:pPr>
      <w:r>
        <w:rPr>
          <w:rFonts w:hint="eastAsia"/>
          <w:sz w:val="28"/>
          <w:szCs w:val="28"/>
        </w:rPr>
        <w:t>（</w:t>
      </w:r>
      <w:r>
        <w:rPr>
          <w:sz w:val="28"/>
          <w:szCs w:val="28"/>
        </w:rPr>
        <w:t>2</w:t>
      </w:r>
      <w:r>
        <w:rPr>
          <w:rFonts w:hint="eastAsia"/>
          <w:sz w:val="28"/>
          <w:szCs w:val="28"/>
        </w:rPr>
        <w:t>）履行岗位职责能力强，与岗位要求相应的专业技术技能或者管理水平高，积极参加业务培训；教师岗位信息技术应用能力强；</w:t>
      </w:r>
    </w:p>
    <w:p>
      <w:pPr>
        <w:widowControl/>
        <w:ind w:firstLine="560" w:firstLineChars="200"/>
        <w:jc w:val="left"/>
        <w:rPr>
          <w:sz w:val="28"/>
          <w:szCs w:val="28"/>
        </w:rPr>
      </w:pPr>
      <w:r>
        <w:rPr>
          <w:rFonts w:hint="eastAsia"/>
          <w:sz w:val="28"/>
          <w:szCs w:val="28"/>
        </w:rPr>
        <w:t>（</w:t>
      </w:r>
      <w:r>
        <w:rPr>
          <w:sz w:val="28"/>
          <w:szCs w:val="28"/>
        </w:rPr>
        <w:t>3</w:t>
      </w:r>
      <w:r>
        <w:rPr>
          <w:rFonts w:hint="eastAsia"/>
          <w:sz w:val="28"/>
          <w:szCs w:val="28"/>
        </w:rPr>
        <w:t>）公益服务意识和工作责任心强，勤奋敬业，工作认真负责；</w:t>
      </w:r>
    </w:p>
    <w:p>
      <w:pPr>
        <w:widowControl/>
        <w:ind w:firstLine="560" w:firstLineChars="200"/>
        <w:jc w:val="left"/>
        <w:rPr>
          <w:sz w:val="28"/>
          <w:szCs w:val="28"/>
        </w:rPr>
      </w:pPr>
      <w:r>
        <w:rPr>
          <w:rFonts w:hint="eastAsia"/>
          <w:sz w:val="28"/>
          <w:szCs w:val="28"/>
        </w:rPr>
        <w:t>（</w:t>
      </w:r>
      <w:r>
        <w:rPr>
          <w:sz w:val="28"/>
          <w:szCs w:val="28"/>
        </w:rPr>
        <w:t>4</w:t>
      </w:r>
      <w:r>
        <w:rPr>
          <w:rFonts w:hint="eastAsia"/>
          <w:sz w:val="28"/>
          <w:szCs w:val="28"/>
        </w:rPr>
        <w:t>）全面履行岗位职责，高质量地完成工作任务，业绩显著，服务对象满意度高；</w:t>
      </w:r>
    </w:p>
    <w:p>
      <w:pPr>
        <w:widowControl/>
        <w:ind w:firstLine="560" w:firstLineChars="200"/>
        <w:jc w:val="left"/>
        <w:rPr>
          <w:sz w:val="28"/>
          <w:szCs w:val="28"/>
        </w:rPr>
      </w:pPr>
      <w:r>
        <w:rPr>
          <w:rFonts w:hint="eastAsia"/>
          <w:sz w:val="28"/>
          <w:szCs w:val="28"/>
        </w:rPr>
        <w:t>（</w:t>
      </w:r>
      <w:r>
        <w:rPr>
          <w:sz w:val="28"/>
          <w:szCs w:val="28"/>
        </w:rPr>
        <w:t>5</w:t>
      </w:r>
      <w:r>
        <w:rPr>
          <w:rFonts w:hint="eastAsia"/>
          <w:sz w:val="28"/>
          <w:szCs w:val="28"/>
        </w:rPr>
        <w:t>）在廉洁从业方面具有模范作用。</w:t>
      </w:r>
    </w:p>
    <w:p>
      <w:pPr>
        <w:widowControl/>
        <w:ind w:firstLine="560" w:firstLineChars="200"/>
        <w:jc w:val="left"/>
        <w:rPr>
          <w:sz w:val="28"/>
          <w:szCs w:val="28"/>
        </w:rPr>
      </w:pPr>
      <w:r>
        <w:rPr>
          <w:sz w:val="28"/>
          <w:szCs w:val="28"/>
        </w:rPr>
        <w:t>2.</w:t>
      </w:r>
      <w:r>
        <w:rPr>
          <w:rFonts w:hint="eastAsia"/>
          <w:sz w:val="28"/>
          <w:szCs w:val="28"/>
        </w:rPr>
        <w:t>确定为合格等次须具备下列条件：</w:t>
      </w:r>
    </w:p>
    <w:p>
      <w:pPr>
        <w:widowControl/>
        <w:ind w:firstLine="560" w:firstLineChars="200"/>
        <w:jc w:val="left"/>
        <w:rPr>
          <w:sz w:val="28"/>
          <w:szCs w:val="28"/>
        </w:rPr>
      </w:pPr>
      <w:r>
        <w:rPr>
          <w:rFonts w:hint="eastAsia"/>
          <w:sz w:val="28"/>
          <w:szCs w:val="28"/>
        </w:rPr>
        <w:t>（</w:t>
      </w:r>
      <w:r>
        <w:rPr>
          <w:sz w:val="28"/>
          <w:szCs w:val="28"/>
        </w:rPr>
        <w:t>1</w:t>
      </w:r>
      <w:r>
        <w:rPr>
          <w:rFonts w:hint="eastAsia"/>
          <w:sz w:val="28"/>
          <w:szCs w:val="28"/>
        </w:rPr>
        <w:t>）遵纪守法，思想政治素质较高，贯彻落实党的路线、方针政策，具有良好的职业道德、社会公德、家庭美德、个人品德；</w:t>
      </w:r>
    </w:p>
    <w:p>
      <w:pPr>
        <w:widowControl/>
        <w:ind w:firstLine="560" w:firstLineChars="200"/>
        <w:jc w:val="left"/>
        <w:rPr>
          <w:sz w:val="28"/>
          <w:szCs w:val="28"/>
        </w:rPr>
      </w:pPr>
      <w:r>
        <w:rPr>
          <w:rFonts w:hint="eastAsia"/>
          <w:sz w:val="28"/>
          <w:szCs w:val="28"/>
        </w:rPr>
        <w:t>（</w:t>
      </w:r>
      <w:r>
        <w:rPr>
          <w:sz w:val="28"/>
          <w:szCs w:val="28"/>
        </w:rPr>
        <w:t>2</w:t>
      </w:r>
      <w:r>
        <w:rPr>
          <w:rFonts w:hint="eastAsia"/>
          <w:sz w:val="28"/>
          <w:szCs w:val="28"/>
        </w:rPr>
        <w:t>）履行岗位职责能力较强，与岗位要求相应的专业技术技能或者管理水平较高，按时参加业务培训；教师岗位信息技术应用能力较强；</w:t>
      </w:r>
    </w:p>
    <w:p>
      <w:pPr>
        <w:widowControl/>
        <w:ind w:firstLine="560" w:firstLineChars="200"/>
        <w:jc w:val="left"/>
        <w:rPr>
          <w:sz w:val="28"/>
          <w:szCs w:val="28"/>
        </w:rPr>
      </w:pPr>
      <w:r>
        <w:rPr>
          <w:rFonts w:hint="eastAsia"/>
          <w:sz w:val="28"/>
          <w:szCs w:val="28"/>
        </w:rPr>
        <w:t>（</w:t>
      </w:r>
      <w:r>
        <w:rPr>
          <w:sz w:val="28"/>
          <w:szCs w:val="28"/>
        </w:rPr>
        <w:t>3</w:t>
      </w:r>
      <w:r>
        <w:rPr>
          <w:rFonts w:hint="eastAsia"/>
          <w:sz w:val="28"/>
          <w:szCs w:val="28"/>
        </w:rPr>
        <w:t>）公益服务意识和工作责任心较强，工作比较认真负责；</w:t>
      </w:r>
    </w:p>
    <w:p>
      <w:pPr>
        <w:widowControl/>
        <w:ind w:firstLine="560" w:firstLineChars="200"/>
        <w:jc w:val="left"/>
        <w:rPr>
          <w:sz w:val="28"/>
          <w:szCs w:val="28"/>
        </w:rPr>
      </w:pPr>
      <w:r>
        <w:rPr>
          <w:rFonts w:hint="eastAsia"/>
          <w:sz w:val="28"/>
          <w:szCs w:val="28"/>
        </w:rPr>
        <w:t>（</w:t>
      </w:r>
      <w:r>
        <w:rPr>
          <w:sz w:val="28"/>
          <w:szCs w:val="28"/>
        </w:rPr>
        <w:t>4</w:t>
      </w:r>
      <w:r>
        <w:rPr>
          <w:rFonts w:hint="eastAsia"/>
          <w:sz w:val="28"/>
          <w:szCs w:val="28"/>
        </w:rPr>
        <w:t>）能够履行岗位职责，较好地完成工作任务，富有成效，服务对象满意度较高；</w:t>
      </w:r>
    </w:p>
    <w:p>
      <w:pPr>
        <w:widowControl/>
        <w:ind w:firstLine="560" w:firstLineChars="200"/>
        <w:jc w:val="left"/>
        <w:rPr>
          <w:sz w:val="28"/>
          <w:szCs w:val="28"/>
        </w:rPr>
      </w:pPr>
      <w:r>
        <w:rPr>
          <w:rFonts w:hint="eastAsia"/>
          <w:sz w:val="28"/>
          <w:szCs w:val="28"/>
        </w:rPr>
        <w:t>（</w:t>
      </w:r>
      <w:r>
        <w:rPr>
          <w:sz w:val="28"/>
          <w:szCs w:val="28"/>
        </w:rPr>
        <w:t>5</w:t>
      </w:r>
      <w:r>
        <w:rPr>
          <w:rFonts w:hint="eastAsia"/>
          <w:sz w:val="28"/>
          <w:szCs w:val="28"/>
        </w:rPr>
        <w:t>）廉洁从业。</w:t>
      </w:r>
    </w:p>
    <w:p>
      <w:pPr>
        <w:widowControl/>
        <w:ind w:firstLine="560" w:firstLineChars="200"/>
        <w:jc w:val="left"/>
        <w:rPr>
          <w:sz w:val="28"/>
          <w:szCs w:val="28"/>
        </w:rPr>
      </w:pPr>
      <w:r>
        <w:rPr>
          <w:sz w:val="28"/>
          <w:szCs w:val="28"/>
        </w:rPr>
        <w:t>3.</w:t>
      </w:r>
      <w:r>
        <w:rPr>
          <w:rFonts w:hint="eastAsia"/>
          <w:sz w:val="28"/>
          <w:szCs w:val="28"/>
        </w:rPr>
        <w:t>具有下列情形之一的，应当确定为基本合格等次：</w:t>
      </w:r>
    </w:p>
    <w:p>
      <w:pPr>
        <w:widowControl/>
        <w:ind w:firstLine="560" w:firstLineChars="200"/>
        <w:jc w:val="left"/>
        <w:rPr>
          <w:sz w:val="28"/>
          <w:szCs w:val="28"/>
        </w:rPr>
      </w:pPr>
      <w:r>
        <w:rPr>
          <w:rFonts w:hint="eastAsia"/>
          <w:sz w:val="28"/>
          <w:szCs w:val="28"/>
        </w:rPr>
        <w:t>（</w:t>
      </w:r>
      <w:r>
        <w:rPr>
          <w:sz w:val="28"/>
          <w:szCs w:val="28"/>
        </w:rPr>
        <w:t>1</w:t>
      </w:r>
      <w:r>
        <w:rPr>
          <w:rFonts w:hint="eastAsia"/>
          <w:sz w:val="28"/>
          <w:szCs w:val="28"/>
        </w:rPr>
        <w:t>）思想政治素质一般，组织纪律性不强，或者在职业道德、社会公德、家庭美德、个人品德方面存在明显不足；</w:t>
      </w:r>
    </w:p>
    <w:p>
      <w:pPr>
        <w:widowControl/>
        <w:ind w:firstLine="560" w:firstLineChars="200"/>
        <w:jc w:val="left"/>
        <w:rPr>
          <w:sz w:val="28"/>
          <w:szCs w:val="28"/>
        </w:rPr>
      </w:pPr>
      <w:r>
        <w:rPr>
          <w:rFonts w:hint="eastAsia"/>
          <w:sz w:val="28"/>
          <w:szCs w:val="28"/>
        </w:rPr>
        <w:t>（</w:t>
      </w:r>
      <w:r>
        <w:rPr>
          <w:sz w:val="28"/>
          <w:szCs w:val="28"/>
        </w:rPr>
        <w:t>2</w:t>
      </w:r>
      <w:r>
        <w:rPr>
          <w:rFonts w:hint="eastAsia"/>
          <w:sz w:val="28"/>
          <w:szCs w:val="28"/>
        </w:rPr>
        <w:t>）履行岗位职责能力较弱，与岗位要求相应的专业技术技能或者管理水平较低；教师岗位信息技术应用能力较弱；</w:t>
      </w:r>
    </w:p>
    <w:p>
      <w:pPr>
        <w:widowControl/>
        <w:ind w:firstLine="560" w:firstLineChars="200"/>
        <w:jc w:val="left"/>
        <w:rPr>
          <w:sz w:val="28"/>
          <w:szCs w:val="28"/>
        </w:rPr>
      </w:pPr>
      <w:r>
        <w:rPr>
          <w:rFonts w:hint="eastAsia"/>
          <w:sz w:val="28"/>
          <w:szCs w:val="28"/>
        </w:rPr>
        <w:t>（</w:t>
      </w:r>
      <w:r>
        <w:rPr>
          <w:sz w:val="28"/>
          <w:szCs w:val="28"/>
        </w:rPr>
        <w:t>3</w:t>
      </w:r>
      <w:r>
        <w:rPr>
          <w:rFonts w:hint="eastAsia"/>
          <w:sz w:val="28"/>
          <w:szCs w:val="28"/>
        </w:rPr>
        <w:t>）公益服务意识和工作责任心一般，或者工作态度、工作作风方面存在明显不足；</w:t>
      </w:r>
    </w:p>
    <w:p>
      <w:pPr>
        <w:widowControl/>
        <w:ind w:firstLine="560" w:firstLineChars="200"/>
        <w:jc w:val="left"/>
        <w:rPr>
          <w:sz w:val="28"/>
          <w:szCs w:val="28"/>
        </w:rPr>
      </w:pPr>
      <w:r>
        <w:rPr>
          <w:rFonts w:hint="eastAsia"/>
          <w:sz w:val="28"/>
          <w:szCs w:val="28"/>
        </w:rPr>
        <w:t>（</w:t>
      </w:r>
      <w:r>
        <w:rPr>
          <w:sz w:val="28"/>
          <w:szCs w:val="28"/>
        </w:rPr>
        <w:t>4</w:t>
      </w:r>
      <w:r>
        <w:rPr>
          <w:rFonts w:hint="eastAsia"/>
          <w:sz w:val="28"/>
          <w:szCs w:val="28"/>
        </w:rPr>
        <w:t>）基本能够履行岗位职责，但完成工作的数量不足，质量和效率不高，或者在工作中有较大失误，或者服务对象满意度较低；</w:t>
      </w:r>
    </w:p>
    <w:p>
      <w:pPr>
        <w:widowControl/>
        <w:ind w:firstLine="560" w:firstLineChars="200"/>
        <w:jc w:val="left"/>
        <w:rPr>
          <w:sz w:val="28"/>
          <w:szCs w:val="28"/>
        </w:rPr>
      </w:pPr>
      <w:r>
        <w:rPr>
          <w:rFonts w:hint="eastAsia"/>
          <w:sz w:val="28"/>
          <w:szCs w:val="28"/>
        </w:rPr>
        <w:t>（</w:t>
      </w:r>
      <w:r>
        <w:rPr>
          <w:sz w:val="28"/>
          <w:szCs w:val="28"/>
        </w:rPr>
        <w:t>5</w:t>
      </w:r>
      <w:r>
        <w:rPr>
          <w:rFonts w:hint="eastAsia"/>
          <w:sz w:val="28"/>
          <w:szCs w:val="28"/>
        </w:rPr>
        <w:t>）基本做到廉洁从业，但某些方面存在不足。</w:t>
      </w:r>
    </w:p>
    <w:p>
      <w:pPr>
        <w:widowControl/>
        <w:ind w:firstLine="560" w:firstLineChars="200"/>
        <w:jc w:val="left"/>
        <w:rPr>
          <w:sz w:val="28"/>
          <w:szCs w:val="28"/>
        </w:rPr>
      </w:pPr>
      <w:r>
        <w:rPr>
          <w:sz w:val="28"/>
          <w:szCs w:val="28"/>
        </w:rPr>
        <w:t>4.</w:t>
      </w:r>
      <w:r>
        <w:rPr>
          <w:rFonts w:hint="eastAsia"/>
          <w:sz w:val="28"/>
          <w:szCs w:val="28"/>
        </w:rPr>
        <w:t>具有下列情形之一的，应当确定为不合格等次：</w:t>
      </w:r>
    </w:p>
    <w:p>
      <w:pPr>
        <w:widowControl/>
        <w:ind w:firstLine="560" w:firstLineChars="200"/>
        <w:jc w:val="left"/>
        <w:rPr>
          <w:sz w:val="28"/>
          <w:szCs w:val="28"/>
        </w:rPr>
      </w:pPr>
      <w:r>
        <w:rPr>
          <w:rFonts w:hint="eastAsia"/>
          <w:sz w:val="28"/>
          <w:szCs w:val="28"/>
        </w:rPr>
        <w:t>（</w:t>
      </w:r>
      <w:r>
        <w:rPr>
          <w:sz w:val="28"/>
          <w:szCs w:val="28"/>
        </w:rPr>
        <w:t>1</w:t>
      </w:r>
      <w:r>
        <w:rPr>
          <w:rFonts w:hint="eastAsia"/>
          <w:sz w:val="28"/>
          <w:szCs w:val="28"/>
        </w:rPr>
        <w:t>）思想政治素质较差，或者道德品质较差；</w:t>
      </w:r>
    </w:p>
    <w:p>
      <w:pPr>
        <w:widowControl/>
        <w:ind w:firstLine="560" w:firstLineChars="200"/>
        <w:jc w:val="left"/>
        <w:rPr>
          <w:sz w:val="28"/>
          <w:szCs w:val="28"/>
        </w:rPr>
      </w:pPr>
      <w:r>
        <w:rPr>
          <w:rFonts w:hint="eastAsia"/>
          <w:sz w:val="28"/>
          <w:szCs w:val="28"/>
        </w:rPr>
        <w:t>（</w:t>
      </w:r>
      <w:r>
        <w:rPr>
          <w:sz w:val="28"/>
          <w:szCs w:val="28"/>
        </w:rPr>
        <w:t>2</w:t>
      </w:r>
      <w:r>
        <w:rPr>
          <w:rFonts w:hint="eastAsia"/>
          <w:sz w:val="28"/>
          <w:szCs w:val="28"/>
        </w:rPr>
        <w:t>）业务素质和工作能力不能适应岗位要求；教师岗位不具备信息技术应用能力；</w:t>
      </w:r>
    </w:p>
    <w:p>
      <w:pPr>
        <w:widowControl/>
        <w:ind w:firstLine="560" w:firstLineChars="200"/>
        <w:jc w:val="left"/>
        <w:rPr>
          <w:sz w:val="28"/>
          <w:szCs w:val="28"/>
        </w:rPr>
      </w:pPr>
      <w:r>
        <w:rPr>
          <w:rFonts w:hint="eastAsia"/>
          <w:sz w:val="28"/>
          <w:szCs w:val="28"/>
        </w:rPr>
        <w:t>（</w:t>
      </w:r>
      <w:r>
        <w:rPr>
          <w:sz w:val="28"/>
          <w:szCs w:val="28"/>
        </w:rPr>
        <w:t>3</w:t>
      </w:r>
      <w:r>
        <w:rPr>
          <w:rFonts w:hint="eastAsia"/>
          <w:sz w:val="28"/>
          <w:szCs w:val="28"/>
        </w:rPr>
        <w:t>）公益服务意识和工作责任心薄弱，组织纪律性差，或者工作态度、工作作风差。</w:t>
      </w:r>
    </w:p>
    <w:p>
      <w:pPr>
        <w:widowControl/>
        <w:ind w:firstLine="560" w:firstLineChars="200"/>
        <w:jc w:val="left"/>
        <w:rPr>
          <w:sz w:val="28"/>
          <w:szCs w:val="28"/>
        </w:rPr>
      </w:pPr>
      <w:r>
        <w:rPr>
          <w:rFonts w:hint="eastAsia"/>
          <w:sz w:val="28"/>
          <w:szCs w:val="28"/>
        </w:rPr>
        <w:t>第十六条</w:t>
      </w:r>
      <w:r>
        <w:rPr>
          <w:sz w:val="28"/>
          <w:szCs w:val="28"/>
        </w:rPr>
        <w:t xml:space="preserve"> </w:t>
      </w:r>
      <w:r>
        <w:rPr>
          <w:rFonts w:hint="eastAsia"/>
          <w:sz w:val="28"/>
          <w:szCs w:val="28"/>
        </w:rPr>
        <w:t>特殊情况考核等次的确定</w:t>
      </w:r>
    </w:p>
    <w:p>
      <w:pPr>
        <w:widowControl/>
        <w:ind w:firstLine="560" w:firstLineChars="200"/>
        <w:jc w:val="left"/>
        <w:rPr>
          <w:sz w:val="28"/>
          <w:szCs w:val="28"/>
        </w:rPr>
      </w:pPr>
      <w:r>
        <w:rPr>
          <w:rFonts w:hint="eastAsia"/>
          <w:sz w:val="28"/>
          <w:szCs w:val="28"/>
        </w:rPr>
        <w:t>（一）事业单位新进工作人员首次就业，在试用期内参加年度考核，只写评语，不确定等次，薪级工资不予晋升，本年度不计算为现聘岗位的任职年限；非首次就业，本年度在机关事业单位工作累计不到半年的（含试用期），不参加本单位年度考核；非首次就业，本年度在事业单位工作累计超过半年的（含试用期），由其现所在单位进行年度考核并确定等次，有关情况由原单位提供。未聘人员未聘时间累计超过半年的工作人员，不参加年度考核。</w:t>
      </w:r>
    </w:p>
    <w:p>
      <w:pPr>
        <w:widowControl/>
        <w:ind w:firstLine="560" w:firstLineChars="200"/>
        <w:jc w:val="left"/>
        <w:rPr>
          <w:sz w:val="28"/>
          <w:szCs w:val="28"/>
        </w:rPr>
      </w:pPr>
      <w:r>
        <w:rPr>
          <w:rFonts w:hint="eastAsia"/>
          <w:sz w:val="28"/>
          <w:szCs w:val="28"/>
        </w:rPr>
        <w:t>（二）事业单位派出挂职锻炼、学习培训、执行其他任务的工作人员，除特殊规定外，一般由派出单位进行年度考核，主要根据挂职锻炼、学习培训以及执行其它任务的表现确定等次。相关情况由其挂职锻炼、学习培训以及执行其它任务的所在单位提供。</w:t>
      </w:r>
    </w:p>
    <w:p>
      <w:pPr>
        <w:widowControl/>
        <w:ind w:firstLine="560" w:firstLineChars="200"/>
        <w:jc w:val="left"/>
        <w:rPr>
          <w:sz w:val="28"/>
          <w:szCs w:val="28"/>
        </w:rPr>
      </w:pPr>
      <w:r>
        <w:rPr>
          <w:rFonts w:hint="eastAsia"/>
          <w:sz w:val="28"/>
          <w:szCs w:val="28"/>
        </w:rPr>
        <w:t>（三）病假（因公负伤除外）、事假、非单位派出外出学习累计超过半年的工作人员，不参加年度考核。</w:t>
      </w:r>
    </w:p>
    <w:p>
      <w:pPr>
        <w:widowControl/>
        <w:ind w:firstLine="560" w:firstLineChars="200"/>
        <w:jc w:val="left"/>
        <w:rPr>
          <w:sz w:val="28"/>
          <w:szCs w:val="28"/>
        </w:rPr>
      </w:pPr>
      <w:r>
        <w:rPr>
          <w:rFonts w:hint="eastAsia"/>
          <w:sz w:val="28"/>
          <w:szCs w:val="28"/>
        </w:rPr>
        <w:t>（四）事业单位工作人员受警告处分的当年，参加年度考核并确定等次，但不得确定为优秀等次；受记过、降聘或撤职处分期间，参加年度考核，只写评语，不定等次，在解除处分的当年及以后，其年度考核不受原处分影响。事业单位工作人员涉嫌违法违纪被立案调查尚未结案的，参加年度考核，不写评语，不定等次；结案后未给予处分或者给予警告处分的，按规定补写评语、补定等次。</w:t>
      </w:r>
    </w:p>
    <w:p>
      <w:pPr>
        <w:widowControl/>
        <w:ind w:firstLine="560" w:firstLineChars="200"/>
        <w:jc w:val="left"/>
        <w:rPr>
          <w:sz w:val="28"/>
          <w:szCs w:val="28"/>
        </w:rPr>
      </w:pPr>
      <w:r>
        <w:rPr>
          <w:rFonts w:hint="eastAsia"/>
          <w:sz w:val="28"/>
          <w:szCs w:val="28"/>
        </w:rPr>
        <w:t>（五）考核年度内接收的军队转业干部及退伍军人，其转业、退伍前的情况，可参阅部队的鉴定，一般当年应确定为合格以上等次。</w:t>
      </w:r>
    </w:p>
    <w:p>
      <w:pPr>
        <w:widowControl/>
        <w:ind w:firstLine="560" w:firstLineChars="200"/>
        <w:jc w:val="left"/>
        <w:rPr>
          <w:sz w:val="28"/>
          <w:szCs w:val="28"/>
        </w:rPr>
      </w:pPr>
      <w:r>
        <w:rPr>
          <w:rFonts w:hint="eastAsia"/>
          <w:sz w:val="28"/>
          <w:szCs w:val="28"/>
        </w:rPr>
        <w:t>（六）对无正当理由不参加年度考核的事业单位工作人员，经教育后仍拒绝参加的，其考核结果直接确定为不合格等次。</w:t>
      </w:r>
    </w:p>
    <w:p>
      <w:pPr>
        <w:widowControl/>
        <w:ind w:firstLine="560" w:firstLineChars="200"/>
        <w:jc w:val="left"/>
        <w:rPr>
          <w:sz w:val="28"/>
          <w:szCs w:val="28"/>
        </w:rPr>
      </w:pPr>
      <w:r>
        <w:rPr>
          <w:rFonts w:hint="eastAsia"/>
          <w:sz w:val="28"/>
          <w:szCs w:val="28"/>
        </w:rPr>
        <w:t>第十七条</w:t>
      </w:r>
      <w:r>
        <w:rPr>
          <w:sz w:val="28"/>
          <w:szCs w:val="28"/>
        </w:rPr>
        <w:t xml:space="preserve"> </w:t>
      </w:r>
      <w:r>
        <w:rPr>
          <w:rFonts w:hint="eastAsia"/>
          <w:sz w:val="28"/>
          <w:szCs w:val="28"/>
        </w:rPr>
        <w:t>个人考核结果的使用</w:t>
      </w:r>
    </w:p>
    <w:p>
      <w:pPr>
        <w:widowControl/>
        <w:ind w:firstLine="560" w:firstLineChars="200"/>
        <w:jc w:val="left"/>
        <w:rPr>
          <w:sz w:val="28"/>
          <w:szCs w:val="28"/>
        </w:rPr>
      </w:pPr>
      <w:r>
        <w:rPr>
          <w:rFonts w:hint="eastAsia"/>
          <w:sz w:val="28"/>
          <w:szCs w:val="28"/>
        </w:rPr>
        <w:t>（一）年度考核结果作为对教职工续聘、解聘、增资、晋级、奖惩以及绩效工资发放的主要依据。</w:t>
      </w:r>
    </w:p>
    <w:p>
      <w:pPr>
        <w:widowControl/>
        <w:ind w:firstLine="560" w:firstLineChars="200"/>
        <w:jc w:val="left"/>
        <w:rPr>
          <w:sz w:val="28"/>
          <w:szCs w:val="28"/>
        </w:rPr>
      </w:pPr>
      <w:r>
        <w:rPr>
          <w:rFonts w:hint="eastAsia"/>
          <w:sz w:val="28"/>
          <w:szCs w:val="28"/>
        </w:rPr>
        <w:t>（二）年度考核确定为合格等次以上的，按照下列规定办理：</w:t>
      </w:r>
    </w:p>
    <w:p>
      <w:pPr>
        <w:widowControl/>
        <w:ind w:firstLine="560" w:firstLineChars="200"/>
        <w:jc w:val="left"/>
        <w:rPr>
          <w:sz w:val="28"/>
          <w:szCs w:val="28"/>
        </w:rPr>
      </w:pPr>
      <w:r>
        <w:rPr>
          <w:sz w:val="28"/>
          <w:szCs w:val="28"/>
        </w:rPr>
        <w:t>1.</w:t>
      </w:r>
      <w:r>
        <w:rPr>
          <w:rFonts w:hint="eastAsia"/>
          <w:sz w:val="28"/>
          <w:szCs w:val="28"/>
        </w:rPr>
        <w:t>按相关文件增加薪级工资。考核为优秀的个人，学校给予精神鼓励，并在绩效工资中予以体现。</w:t>
      </w:r>
    </w:p>
    <w:p>
      <w:pPr>
        <w:widowControl/>
        <w:ind w:firstLine="560" w:firstLineChars="200"/>
        <w:jc w:val="left"/>
        <w:rPr>
          <w:sz w:val="28"/>
          <w:szCs w:val="28"/>
        </w:rPr>
      </w:pPr>
      <w:r>
        <w:rPr>
          <w:sz w:val="28"/>
          <w:szCs w:val="28"/>
        </w:rPr>
        <w:t>2.</w:t>
      </w:r>
      <w:r>
        <w:rPr>
          <w:rFonts w:hint="eastAsia"/>
          <w:sz w:val="28"/>
          <w:szCs w:val="28"/>
        </w:rPr>
        <w:t>专业技术人员任期内年度考核均为合格以上等次的，具有评定、聘任、续聘专业技术职务的资格。</w:t>
      </w:r>
    </w:p>
    <w:p>
      <w:pPr>
        <w:widowControl/>
        <w:ind w:firstLine="560" w:firstLineChars="200"/>
        <w:jc w:val="left"/>
        <w:rPr>
          <w:sz w:val="28"/>
          <w:szCs w:val="28"/>
        </w:rPr>
      </w:pPr>
      <w:r>
        <w:rPr>
          <w:rFonts w:hint="eastAsia"/>
          <w:sz w:val="28"/>
          <w:szCs w:val="28"/>
        </w:rPr>
        <w:t>（三）年度考核被确定为基本合格等次的，按照下列规定处理：</w:t>
      </w:r>
    </w:p>
    <w:p>
      <w:pPr>
        <w:widowControl/>
        <w:ind w:firstLine="560" w:firstLineChars="200"/>
        <w:jc w:val="left"/>
        <w:rPr>
          <w:sz w:val="28"/>
          <w:szCs w:val="28"/>
        </w:rPr>
      </w:pPr>
      <w:r>
        <w:rPr>
          <w:sz w:val="28"/>
          <w:szCs w:val="28"/>
        </w:rPr>
        <w:t>1.</w:t>
      </w:r>
      <w:r>
        <w:rPr>
          <w:rFonts w:hint="eastAsia"/>
          <w:sz w:val="28"/>
          <w:szCs w:val="28"/>
        </w:rPr>
        <w:t>不增加薪级工资，并予以批评教育。</w:t>
      </w:r>
    </w:p>
    <w:p>
      <w:pPr>
        <w:widowControl/>
        <w:ind w:firstLine="560" w:firstLineChars="200"/>
        <w:jc w:val="left"/>
        <w:rPr>
          <w:sz w:val="28"/>
          <w:szCs w:val="28"/>
        </w:rPr>
      </w:pPr>
      <w:r>
        <w:rPr>
          <w:sz w:val="28"/>
          <w:szCs w:val="28"/>
        </w:rPr>
        <w:t>2.</w:t>
      </w:r>
      <w:r>
        <w:rPr>
          <w:rFonts w:hint="eastAsia"/>
          <w:sz w:val="28"/>
          <w:szCs w:val="28"/>
        </w:rPr>
        <w:t>连续两年考核被确定为基本合格等次的，应给予警示，予以降职、调整岗位、低聘。</w:t>
      </w:r>
    </w:p>
    <w:p>
      <w:pPr>
        <w:widowControl/>
        <w:ind w:firstLine="560" w:firstLineChars="200"/>
        <w:jc w:val="left"/>
        <w:rPr>
          <w:sz w:val="28"/>
          <w:szCs w:val="28"/>
        </w:rPr>
      </w:pPr>
      <w:r>
        <w:rPr>
          <w:rFonts w:hint="eastAsia"/>
          <w:sz w:val="28"/>
          <w:szCs w:val="28"/>
        </w:rPr>
        <w:t>（四）年度考核被确定为不合格等次的，按照下列规定处理：</w:t>
      </w:r>
    </w:p>
    <w:p>
      <w:pPr>
        <w:widowControl/>
        <w:ind w:firstLine="560" w:firstLineChars="200"/>
        <w:jc w:val="left"/>
        <w:rPr>
          <w:sz w:val="28"/>
          <w:szCs w:val="28"/>
        </w:rPr>
      </w:pPr>
      <w:r>
        <w:rPr>
          <w:sz w:val="28"/>
          <w:szCs w:val="28"/>
        </w:rPr>
        <w:t>1.</w:t>
      </w:r>
      <w:r>
        <w:rPr>
          <w:rFonts w:hint="eastAsia"/>
          <w:sz w:val="28"/>
          <w:szCs w:val="28"/>
        </w:rPr>
        <w:t>不增加薪级工资，并在学校内部予以通报批评。</w:t>
      </w:r>
    </w:p>
    <w:p>
      <w:pPr>
        <w:widowControl/>
        <w:ind w:firstLine="560" w:firstLineChars="200"/>
        <w:jc w:val="left"/>
        <w:rPr>
          <w:sz w:val="28"/>
          <w:szCs w:val="28"/>
        </w:rPr>
      </w:pPr>
      <w:r>
        <w:rPr>
          <w:sz w:val="28"/>
          <w:szCs w:val="28"/>
        </w:rPr>
        <w:t>2.</w:t>
      </w:r>
      <w:r>
        <w:rPr>
          <w:rFonts w:hint="eastAsia"/>
          <w:sz w:val="28"/>
          <w:szCs w:val="28"/>
        </w:rPr>
        <w:t>连续两年考核被确定为不合格等次的，予以解除聘用合同或辞退。</w:t>
      </w:r>
    </w:p>
    <w:p>
      <w:pPr>
        <w:widowControl/>
        <w:ind w:firstLine="562"/>
        <w:jc w:val="center"/>
        <w:rPr>
          <w:b/>
          <w:sz w:val="28"/>
          <w:szCs w:val="28"/>
        </w:rPr>
      </w:pPr>
      <w:r>
        <w:rPr>
          <w:rFonts w:hint="eastAsia"/>
          <w:b/>
          <w:sz w:val="28"/>
          <w:szCs w:val="28"/>
        </w:rPr>
        <w:t>第四章</w:t>
      </w:r>
      <w:r>
        <w:rPr>
          <w:b/>
          <w:sz w:val="28"/>
          <w:szCs w:val="28"/>
        </w:rPr>
        <w:t xml:space="preserve"> </w:t>
      </w:r>
      <w:r>
        <w:rPr>
          <w:rFonts w:hint="eastAsia"/>
          <w:b/>
          <w:sz w:val="28"/>
          <w:szCs w:val="28"/>
        </w:rPr>
        <w:t>考核纪律与监督</w:t>
      </w:r>
    </w:p>
    <w:p>
      <w:pPr>
        <w:widowControl/>
        <w:ind w:firstLine="560" w:firstLineChars="200"/>
        <w:jc w:val="left"/>
        <w:rPr>
          <w:sz w:val="28"/>
          <w:szCs w:val="28"/>
        </w:rPr>
      </w:pPr>
      <w:r>
        <w:rPr>
          <w:rFonts w:hint="eastAsia"/>
          <w:sz w:val="28"/>
          <w:szCs w:val="28"/>
        </w:rPr>
        <w:t>第十八条</w:t>
      </w:r>
      <w:r>
        <w:rPr>
          <w:sz w:val="28"/>
          <w:szCs w:val="28"/>
        </w:rPr>
        <w:t xml:space="preserve"> </w:t>
      </w:r>
      <w:r>
        <w:rPr>
          <w:rFonts w:hint="eastAsia"/>
          <w:sz w:val="28"/>
          <w:szCs w:val="28"/>
        </w:rPr>
        <w:t>在考核工作中，考核人员、考核对象、有关二级机构和人员应认真执行政策，严肃考核工作纪律，不准搞非组织活动，不准泄露考核机密，不得借考核工作打击报复，不得徇私舞弊、弄虚作假，不得瞒报漏报考核结果。</w:t>
      </w:r>
    </w:p>
    <w:p>
      <w:pPr>
        <w:ind w:firstLine="560" w:firstLineChars="200"/>
        <w:rPr>
          <w:sz w:val="28"/>
          <w:szCs w:val="28"/>
        </w:rPr>
      </w:pPr>
      <w:r>
        <w:rPr>
          <w:rFonts w:hint="eastAsia"/>
          <w:sz w:val="28"/>
          <w:szCs w:val="28"/>
        </w:rPr>
        <w:t>第十九条</w:t>
      </w:r>
      <w:r>
        <w:rPr>
          <w:sz w:val="28"/>
          <w:szCs w:val="28"/>
        </w:rPr>
        <w:t xml:space="preserve"> </w:t>
      </w:r>
      <w:r>
        <w:rPr>
          <w:rFonts w:hint="eastAsia"/>
          <w:sz w:val="28"/>
          <w:szCs w:val="28"/>
        </w:rPr>
        <w:t>对违反第十八条规定的，视其性质、情节轻重和造成的后果，进行批评教育或给予党纪、政纪处分。</w:t>
      </w:r>
    </w:p>
    <w:p>
      <w:pPr>
        <w:ind w:firstLine="560" w:firstLineChars="200"/>
        <w:rPr>
          <w:sz w:val="28"/>
          <w:szCs w:val="28"/>
        </w:rPr>
      </w:pPr>
      <w:r>
        <w:rPr>
          <w:rFonts w:hint="eastAsia"/>
          <w:sz w:val="28"/>
          <w:szCs w:val="28"/>
        </w:rPr>
        <w:t>第二十条</w:t>
      </w:r>
      <w:r>
        <w:rPr>
          <w:sz w:val="28"/>
          <w:szCs w:val="28"/>
        </w:rPr>
        <w:t xml:space="preserve"> </w:t>
      </w:r>
      <w:r>
        <w:rPr>
          <w:rFonts w:hint="eastAsia"/>
          <w:sz w:val="28"/>
          <w:szCs w:val="28"/>
        </w:rPr>
        <w:t>加强对考核工作的监督。在学校纪委办公室、综合考核领导小组办公室设立年度考核工作举报电话，负责受理群众举报。</w:t>
      </w:r>
    </w:p>
    <w:p>
      <w:pPr>
        <w:ind w:firstLine="562" w:firstLineChars="200"/>
        <w:jc w:val="center"/>
        <w:rPr>
          <w:b/>
          <w:sz w:val="28"/>
          <w:szCs w:val="28"/>
        </w:rPr>
      </w:pPr>
      <w:r>
        <w:rPr>
          <w:rFonts w:hint="eastAsia"/>
          <w:b/>
          <w:sz w:val="28"/>
          <w:szCs w:val="28"/>
        </w:rPr>
        <w:t>第五章</w:t>
      </w:r>
      <w:r>
        <w:rPr>
          <w:b/>
          <w:sz w:val="28"/>
          <w:szCs w:val="28"/>
        </w:rPr>
        <w:t xml:space="preserve"> </w:t>
      </w:r>
      <w:r>
        <w:rPr>
          <w:rFonts w:hint="eastAsia"/>
          <w:b/>
          <w:sz w:val="28"/>
          <w:szCs w:val="28"/>
        </w:rPr>
        <w:t>附则</w:t>
      </w:r>
    </w:p>
    <w:p>
      <w:pPr>
        <w:ind w:firstLine="560" w:firstLineChars="200"/>
        <w:rPr>
          <w:sz w:val="28"/>
          <w:szCs w:val="28"/>
        </w:rPr>
      </w:pPr>
      <w:r>
        <w:rPr>
          <w:rFonts w:hint="eastAsia"/>
          <w:sz w:val="28"/>
          <w:szCs w:val="28"/>
        </w:rPr>
        <w:t>第二十一条</w:t>
      </w:r>
      <w:r>
        <w:rPr>
          <w:sz w:val="28"/>
          <w:szCs w:val="28"/>
        </w:rPr>
        <w:t xml:space="preserve"> </w:t>
      </w:r>
      <w:r>
        <w:rPr>
          <w:rFonts w:hint="eastAsia"/>
          <w:sz w:val="28"/>
          <w:szCs w:val="28"/>
        </w:rPr>
        <w:t>本办法从文件发布起实施，原《安徽商贸职业技术学院年度部门考核办法（试行）》（商职院字〔</w:t>
      </w:r>
      <w:r>
        <w:rPr>
          <w:sz w:val="28"/>
          <w:szCs w:val="28"/>
        </w:rPr>
        <w:t>2017</w:t>
      </w:r>
      <w:r>
        <w:rPr>
          <w:rFonts w:hint="eastAsia"/>
          <w:sz w:val="28"/>
          <w:szCs w:val="28"/>
        </w:rPr>
        <w:t>〕</w:t>
      </w:r>
      <w:r>
        <w:rPr>
          <w:sz w:val="28"/>
          <w:szCs w:val="28"/>
        </w:rPr>
        <w:t>26</w:t>
      </w:r>
      <w:r>
        <w:rPr>
          <w:rFonts w:hint="eastAsia"/>
          <w:sz w:val="28"/>
          <w:szCs w:val="28"/>
        </w:rPr>
        <w:t>号）废止。</w:t>
      </w:r>
    </w:p>
    <w:p>
      <w:pPr>
        <w:ind w:firstLine="560" w:firstLineChars="200"/>
        <w:rPr>
          <w:sz w:val="28"/>
          <w:szCs w:val="28"/>
        </w:rPr>
      </w:pPr>
      <w:r>
        <w:rPr>
          <w:rFonts w:hint="eastAsia"/>
          <w:sz w:val="28"/>
          <w:szCs w:val="28"/>
        </w:rPr>
        <w:t>第二十二条</w:t>
      </w:r>
      <w:r>
        <w:rPr>
          <w:sz w:val="28"/>
          <w:szCs w:val="28"/>
        </w:rPr>
        <w:t xml:space="preserve"> </w:t>
      </w:r>
      <w:r>
        <w:rPr>
          <w:rFonts w:hint="eastAsia"/>
          <w:sz w:val="28"/>
          <w:szCs w:val="28"/>
        </w:rPr>
        <w:t>本办法由组织人事处负责解释。</w:t>
      </w:r>
    </w:p>
    <w:p>
      <w:pPr>
        <w:ind w:firstLine="560" w:firstLineChars="200"/>
        <w:rPr>
          <w:sz w:val="28"/>
          <w:szCs w:val="28"/>
        </w:rPr>
      </w:pPr>
    </w:p>
    <w:p>
      <w:pPr>
        <w:rPr>
          <w:sz w:val="28"/>
          <w:szCs w:val="28"/>
        </w:rPr>
      </w:pPr>
      <w:r>
        <w:rPr>
          <w:rFonts w:hint="eastAsia"/>
          <w:sz w:val="28"/>
          <w:szCs w:val="28"/>
        </w:rPr>
        <w:t>附件：综合考核测评系列表格</w:t>
      </w:r>
    </w:p>
    <w:p>
      <w:pPr>
        <w:rPr>
          <w:sz w:val="28"/>
          <w:szCs w:val="28"/>
        </w:rPr>
      </w:pPr>
    </w:p>
    <w:p>
      <w:pPr>
        <w:rPr>
          <w:sz w:val="28"/>
          <w:szCs w:val="28"/>
        </w:rPr>
        <w:sectPr>
          <w:pgSz w:w="11906" w:h="16838"/>
          <w:pgMar w:top="1440" w:right="1800" w:bottom="1440" w:left="1800" w:header="851" w:footer="992" w:gutter="0"/>
          <w:cols w:space="425" w:num="1"/>
          <w:docGrid w:type="lines" w:linePitch="312" w:charSpace="0"/>
        </w:sectPr>
      </w:pPr>
    </w:p>
    <w:p>
      <w:pPr>
        <w:widowControl/>
        <w:shd w:val="clear" w:color="auto" w:fill="FFFFFF"/>
        <w:spacing w:line="270" w:lineRule="atLeast"/>
        <w:jc w:val="center"/>
        <w:rPr>
          <w:rFonts w:ascii="黑体" w:hAnsi="黑体" w:eastAsia="黑体" w:cs="Tahoma"/>
          <w:color w:val="000000"/>
          <w:kern w:val="0"/>
          <w:sz w:val="28"/>
          <w:szCs w:val="28"/>
        </w:rPr>
      </w:pPr>
      <w:r>
        <w:rPr>
          <w:rFonts w:hint="eastAsia" w:ascii="黑体" w:eastAsia="黑体"/>
          <w:b/>
          <w:sz w:val="28"/>
          <w:szCs w:val="28"/>
        </w:rPr>
        <w:t>校领导对系部测评打分表（表一）</w:t>
      </w:r>
    </w:p>
    <w:tbl>
      <w:tblPr>
        <w:tblStyle w:val="6"/>
        <w:tblW w:w="12652" w:type="dxa"/>
        <w:jc w:val="center"/>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363"/>
        <w:gridCol w:w="2041"/>
        <w:gridCol w:w="1281"/>
        <w:gridCol w:w="1410"/>
        <w:gridCol w:w="1276"/>
        <w:gridCol w:w="207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tcBorders>
              <w:tl2br w:val="single" w:color="auto" w:sz="4" w:space="0"/>
            </w:tcBorders>
            <w:vAlign w:val="center"/>
          </w:tcPr>
          <w:p>
            <w:pPr>
              <w:jc w:val="right"/>
              <w:rPr>
                <w:rFonts w:ascii="黑体" w:hAnsi="黑体" w:eastAsia="黑体" w:cs="宋体"/>
                <w:kern w:val="0"/>
                <w:szCs w:val="21"/>
              </w:rPr>
            </w:pPr>
            <w:r>
              <w:rPr>
                <w:rFonts w:ascii="黑体" w:hAnsi="黑体" w:eastAsia="黑体" w:cs="宋体"/>
                <w:kern w:val="0"/>
                <w:szCs w:val="21"/>
              </w:rPr>
              <w:t xml:space="preserve">  </w:t>
            </w:r>
            <w:r>
              <w:rPr>
                <w:rFonts w:hint="eastAsia" w:ascii="黑体" w:hAnsi="黑体" w:eastAsia="黑体" w:cs="宋体"/>
                <w:kern w:val="0"/>
                <w:szCs w:val="21"/>
              </w:rPr>
              <w:t>考核内容</w:t>
            </w:r>
          </w:p>
          <w:p>
            <w:pPr>
              <w:jc w:val="center"/>
              <w:rPr>
                <w:rFonts w:ascii="黑体" w:hAnsi="黑体" w:eastAsia="黑体" w:cs="宋体"/>
                <w:kern w:val="0"/>
                <w:szCs w:val="21"/>
              </w:rPr>
            </w:pPr>
          </w:p>
          <w:p>
            <w:pPr>
              <w:jc w:val="left"/>
              <w:rPr>
                <w:rFonts w:ascii="宋体"/>
                <w:sz w:val="24"/>
              </w:rPr>
            </w:pPr>
            <w:r>
              <w:rPr>
                <w:rFonts w:hint="eastAsia" w:ascii="黑体" w:hAnsi="黑体" w:eastAsia="黑体" w:cs="宋体"/>
                <w:kern w:val="0"/>
                <w:szCs w:val="21"/>
              </w:rPr>
              <w:t>被测评对象</w:t>
            </w:r>
          </w:p>
        </w:tc>
        <w:tc>
          <w:tcPr>
            <w:tcW w:w="1363" w:type="dxa"/>
            <w:vAlign w:val="center"/>
          </w:tcPr>
          <w:p>
            <w:pPr>
              <w:jc w:val="center"/>
              <w:rPr>
                <w:rFonts w:ascii="黑体" w:hAnsi="黑体" w:eastAsia="黑体" w:cs="宋体"/>
                <w:kern w:val="0"/>
                <w:szCs w:val="21"/>
              </w:rPr>
            </w:pPr>
            <w:r>
              <w:rPr>
                <w:rFonts w:hint="eastAsia" w:ascii="黑体" w:hAnsi="黑体" w:eastAsia="黑体" w:cs="宋体"/>
                <w:kern w:val="0"/>
                <w:szCs w:val="21"/>
              </w:rPr>
              <w:t>党建和思想政治工作</w:t>
            </w:r>
          </w:p>
          <w:p>
            <w:pPr>
              <w:jc w:val="center"/>
              <w:rPr>
                <w:rFonts w:ascii="黑体" w:hAnsi="黑体" w:eastAsia="黑体"/>
                <w:szCs w:val="21"/>
              </w:rPr>
            </w:pPr>
            <w:r>
              <w:rPr>
                <w:rFonts w:ascii="黑体" w:hAnsi="黑体" w:eastAsia="黑体" w:cs="宋体"/>
                <w:kern w:val="0"/>
                <w:szCs w:val="21"/>
              </w:rPr>
              <w:t>20</w:t>
            </w:r>
            <w:r>
              <w:rPr>
                <w:rFonts w:hint="eastAsia" w:ascii="黑体" w:hAnsi="黑体" w:eastAsia="黑体" w:cs="宋体"/>
                <w:kern w:val="0"/>
                <w:szCs w:val="21"/>
              </w:rPr>
              <w:t>分</w:t>
            </w:r>
          </w:p>
        </w:tc>
        <w:tc>
          <w:tcPr>
            <w:tcW w:w="2041" w:type="dxa"/>
            <w:vAlign w:val="center"/>
          </w:tcPr>
          <w:p>
            <w:pPr>
              <w:jc w:val="center"/>
              <w:rPr>
                <w:rFonts w:ascii="黑体" w:hAnsi="黑体" w:eastAsia="黑体" w:cs="宋体"/>
                <w:kern w:val="0"/>
                <w:szCs w:val="21"/>
              </w:rPr>
            </w:pPr>
            <w:r>
              <w:rPr>
                <w:rFonts w:hint="eastAsia" w:ascii="黑体" w:hAnsi="黑体" w:eastAsia="黑体" w:cs="宋体"/>
                <w:kern w:val="0"/>
                <w:szCs w:val="21"/>
              </w:rPr>
              <w:t>教学工作、专业建设及人才培养</w:t>
            </w:r>
          </w:p>
          <w:p>
            <w:pPr>
              <w:jc w:val="center"/>
              <w:rPr>
                <w:rFonts w:ascii="黑体" w:hAnsi="黑体" w:eastAsia="黑体" w:cs="宋体"/>
                <w:kern w:val="0"/>
                <w:szCs w:val="21"/>
              </w:rPr>
            </w:pPr>
            <w:r>
              <w:rPr>
                <w:rFonts w:ascii="黑体" w:hAnsi="黑体" w:eastAsia="黑体" w:cs="宋体"/>
                <w:kern w:val="0"/>
                <w:szCs w:val="21"/>
              </w:rPr>
              <w:t>25</w:t>
            </w:r>
            <w:r>
              <w:rPr>
                <w:rFonts w:hint="eastAsia" w:ascii="黑体" w:hAnsi="黑体" w:eastAsia="黑体" w:cs="宋体"/>
                <w:kern w:val="0"/>
                <w:szCs w:val="21"/>
              </w:rPr>
              <w:t>分</w:t>
            </w:r>
          </w:p>
        </w:tc>
        <w:tc>
          <w:tcPr>
            <w:tcW w:w="1281" w:type="dxa"/>
            <w:vAlign w:val="center"/>
          </w:tcPr>
          <w:p>
            <w:pPr>
              <w:jc w:val="center"/>
              <w:rPr>
                <w:rFonts w:ascii="黑体" w:hAnsi="黑体" w:eastAsia="黑体"/>
                <w:szCs w:val="21"/>
              </w:rPr>
            </w:pPr>
            <w:r>
              <w:rPr>
                <w:rFonts w:hint="eastAsia" w:ascii="黑体" w:hAnsi="黑体" w:eastAsia="黑体" w:cs="宋体"/>
                <w:kern w:val="0"/>
                <w:szCs w:val="21"/>
              </w:rPr>
              <w:t>教科研</w:t>
            </w:r>
            <w:r>
              <w:rPr>
                <w:rFonts w:hint="eastAsia" w:ascii="黑体" w:hAnsi="黑体" w:eastAsia="黑体"/>
                <w:szCs w:val="21"/>
              </w:rPr>
              <w:t>与社会服务</w:t>
            </w:r>
          </w:p>
          <w:p>
            <w:pPr>
              <w:jc w:val="center"/>
              <w:rPr>
                <w:rFonts w:ascii="黑体" w:hAnsi="黑体" w:eastAsia="黑体" w:cs="宋体"/>
                <w:kern w:val="0"/>
                <w:szCs w:val="21"/>
              </w:rPr>
            </w:pPr>
            <w:r>
              <w:rPr>
                <w:rFonts w:hint="eastAsia" w:ascii="黑体" w:hAnsi="黑体" w:eastAsia="黑体" w:cs="宋体"/>
                <w:kern w:val="0"/>
                <w:szCs w:val="21"/>
              </w:rPr>
              <w:t>工作</w:t>
            </w:r>
          </w:p>
          <w:p>
            <w:pPr>
              <w:jc w:val="center"/>
              <w:rPr>
                <w:rFonts w:ascii="黑体" w:hAnsi="黑体" w:eastAsia="黑体" w:cs="宋体"/>
                <w:kern w:val="0"/>
                <w:szCs w:val="21"/>
              </w:rPr>
            </w:pPr>
            <w:r>
              <w:rPr>
                <w:rFonts w:ascii="黑体" w:hAnsi="黑体" w:eastAsia="黑体" w:cs="宋体"/>
                <w:kern w:val="0"/>
                <w:szCs w:val="21"/>
              </w:rPr>
              <w:t>15</w:t>
            </w:r>
            <w:r>
              <w:rPr>
                <w:rFonts w:hint="eastAsia" w:ascii="黑体" w:hAnsi="黑体" w:eastAsia="黑体" w:cs="宋体"/>
                <w:kern w:val="0"/>
                <w:szCs w:val="21"/>
              </w:rPr>
              <w:t>分</w:t>
            </w:r>
          </w:p>
        </w:tc>
        <w:tc>
          <w:tcPr>
            <w:tcW w:w="1410" w:type="dxa"/>
            <w:vAlign w:val="center"/>
          </w:tcPr>
          <w:p>
            <w:pPr>
              <w:jc w:val="center"/>
              <w:rPr>
                <w:rFonts w:ascii="黑体" w:hAnsi="黑体" w:eastAsia="黑体" w:cs="宋体"/>
                <w:kern w:val="0"/>
                <w:szCs w:val="21"/>
              </w:rPr>
            </w:pPr>
            <w:r>
              <w:rPr>
                <w:rFonts w:hint="eastAsia" w:ascii="黑体" w:hAnsi="黑体" w:eastAsia="黑体" w:cs="宋体"/>
                <w:kern w:val="0"/>
                <w:szCs w:val="21"/>
              </w:rPr>
              <w:t>学生</w:t>
            </w:r>
          </w:p>
          <w:p>
            <w:pPr>
              <w:jc w:val="center"/>
              <w:rPr>
                <w:rFonts w:ascii="黑体" w:hAnsi="黑体" w:eastAsia="黑体" w:cs="宋体"/>
                <w:kern w:val="0"/>
                <w:szCs w:val="21"/>
              </w:rPr>
            </w:pPr>
            <w:r>
              <w:rPr>
                <w:rFonts w:hint="eastAsia" w:ascii="黑体" w:hAnsi="黑体" w:eastAsia="黑体" w:cs="宋体"/>
                <w:kern w:val="0"/>
                <w:szCs w:val="21"/>
              </w:rPr>
              <w:t>工作</w:t>
            </w:r>
          </w:p>
          <w:p>
            <w:pPr>
              <w:jc w:val="center"/>
              <w:rPr>
                <w:rFonts w:ascii="黑体" w:hAnsi="黑体" w:eastAsia="黑体" w:cs="宋体"/>
                <w:kern w:val="0"/>
                <w:szCs w:val="21"/>
              </w:rPr>
            </w:pPr>
            <w:r>
              <w:rPr>
                <w:rFonts w:hint="eastAsia" w:ascii="黑体" w:hAnsi="黑体" w:eastAsia="黑体" w:cs="宋体"/>
                <w:kern w:val="0"/>
                <w:szCs w:val="21"/>
              </w:rPr>
              <w:t>（育人工作）</w:t>
            </w:r>
          </w:p>
          <w:p>
            <w:pPr>
              <w:jc w:val="center"/>
              <w:rPr>
                <w:rFonts w:ascii="黑体" w:hAnsi="黑体" w:eastAsia="黑体" w:cs="宋体"/>
                <w:kern w:val="0"/>
                <w:szCs w:val="21"/>
              </w:rPr>
            </w:pPr>
            <w:r>
              <w:rPr>
                <w:rFonts w:ascii="黑体" w:hAnsi="黑体" w:eastAsia="黑体" w:cs="宋体"/>
                <w:kern w:val="0"/>
                <w:szCs w:val="21"/>
              </w:rPr>
              <w:t>20</w:t>
            </w:r>
            <w:r>
              <w:rPr>
                <w:rFonts w:hint="eastAsia" w:ascii="黑体" w:hAnsi="黑体" w:eastAsia="黑体" w:cs="宋体"/>
                <w:kern w:val="0"/>
                <w:szCs w:val="21"/>
              </w:rPr>
              <w:t>分</w:t>
            </w:r>
          </w:p>
        </w:tc>
        <w:tc>
          <w:tcPr>
            <w:tcW w:w="1276" w:type="dxa"/>
            <w:vAlign w:val="center"/>
          </w:tcPr>
          <w:p>
            <w:pPr>
              <w:jc w:val="center"/>
              <w:rPr>
                <w:rFonts w:ascii="黑体" w:hAnsi="黑体" w:eastAsia="黑体" w:cs="宋体"/>
                <w:kern w:val="0"/>
                <w:szCs w:val="21"/>
              </w:rPr>
            </w:pPr>
            <w:r>
              <w:rPr>
                <w:rFonts w:hint="eastAsia" w:ascii="黑体" w:hAnsi="黑体" w:eastAsia="黑体" w:cs="宋体"/>
                <w:kern w:val="0"/>
                <w:szCs w:val="21"/>
              </w:rPr>
              <w:t>师资队</w:t>
            </w:r>
          </w:p>
          <w:p>
            <w:pPr>
              <w:jc w:val="center"/>
              <w:rPr>
                <w:rFonts w:ascii="黑体" w:hAnsi="黑体" w:eastAsia="黑体" w:cs="宋体"/>
                <w:kern w:val="0"/>
                <w:szCs w:val="21"/>
              </w:rPr>
            </w:pPr>
            <w:r>
              <w:rPr>
                <w:rFonts w:hint="eastAsia" w:ascii="黑体" w:hAnsi="黑体" w:eastAsia="黑体" w:cs="宋体"/>
                <w:kern w:val="0"/>
                <w:szCs w:val="21"/>
              </w:rPr>
              <w:t>伍建设</w:t>
            </w:r>
          </w:p>
          <w:p>
            <w:pPr>
              <w:jc w:val="center"/>
              <w:rPr>
                <w:rFonts w:ascii="黑体" w:hAnsi="黑体" w:eastAsia="黑体" w:cs="宋体"/>
                <w:kern w:val="0"/>
                <w:szCs w:val="21"/>
              </w:rPr>
            </w:pPr>
            <w:r>
              <w:rPr>
                <w:rFonts w:ascii="黑体" w:hAnsi="黑体" w:eastAsia="黑体" w:cs="宋体"/>
                <w:kern w:val="0"/>
                <w:szCs w:val="21"/>
              </w:rPr>
              <w:t>10</w:t>
            </w:r>
            <w:r>
              <w:rPr>
                <w:rFonts w:hint="eastAsia" w:ascii="黑体" w:hAnsi="黑体" w:eastAsia="黑体" w:cs="宋体"/>
                <w:kern w:val="0"/>
                <w:szCs w:val="21"/>
              </w:rPr>
              <w:t>分</w:t>
            </w:r>
          </w:p>
        </w:tc>
        <w:tc>
          <w:tcPr>
            <w:tcW w:w="2072" w:type="dxa"/>
            <w:vAlign w:val="center"/>
          </w:tcPr>
          <w:p>
            <w:pPr>
              <w:jc w:val="center"/>
              <w:rPr>
                <w:rFonts w:ascii="黑体" w:hAnsi="黑体" w:eastAsia="黑体" w:cs="宋体"/>
                <w:kern w:val="0"/>
                <w:szCs w:val="21"/>
              </w:rPr>
            </w:pPr>
            <w:r>
              <w:rPr>
                <w:rFonts w:hint="eastAsia" w:ascii="黑体" w:hAnsi="黑体" w:eastAsia="黑体" w:cs="宋体"/>
                <w:kern w:val="0"/>
                <w:szCs w:val="21"/>
              </w:rPr>
              <w:t>执行学校党政决定、</w:t>
            </w:r>
          </w:p>
          <w:p>
            <w:pPr>
              <w:jc w:val="center"/>
              <w:rPr>
                <w:rFonts w:ascii="黑体" w:hAnsi="黑体" w:eastAsia="黑体" w:cs="宋体"/>
                <w:kern w:val="0"/>
                <w:szCs w:val="21"/>
              </w:rPr>
            </w:pPr>
            <w:r>
              <w:rPr>
                <w:rFonts w:hint="eastAsia" w:ascii="黑体" w:hAnsi="黑体" w:eastAsia="黑体" w:cs="宋体"/>
                <w:kern w:val="0"/>
                <w:szCs w:val="21"/>
              </w:rPr>
              <w:t>部门自身建设及</w:t>
            </w:r>
          </w:p>
          <w:p>
            <w:pPr>
              <w:jc w:val="center"/>
              <w:rPr>
                <w:rFonts w:ascii="黑体" w:hAnsi="黑体" w:eastAsia="黑体" w:cs="宋体"/>
                <w:kern w:val="0"/>
                <w:szCs w:val="21"/>
              </w:rPr>
            </w:pPr>
            <w:r>
              <w:rPr>
                <w:rFonts w:hint="eastAsia" w:ascii="黑体" w:hAnsi="黑体" w:eastAsia="黑体" w:cs="宋体"/>
                <w:kern w:val="0"/>
                <w:szCs w:val="21"/>
              </w:rPr>
              <w:t>廉政建设</w:t>
            </w:r>
          </w:p>
          <w:p>
            <w:pPr>
              <w:jc w:val="center"/>
              <w:rPr>
                <w:rFonts w:ascii="黑体" w:hAnsi="黑体" w:eastAsia="黑体" w:cs="宋体"/>
                <w:kern w:val="0"/>
                <w:szCs w:val="21"/>
              </w:rPr>
            </w:pPr>
            <w:r>
              <w:rPr>
                <w:rFonts w:ascii="黑体" w:hAnsi="黑体" w:eastAsia="黑体" w:cs="宋体"/>
                <w:kern w:val="0"/>
                <w:szCs w:val="21"/>
              </w:rPr>
              <w:t>10</w:t>
            </w:r>
            <w:r>
              <w:rPr>
                <w:rFonts w:hint="eastAsia" w:ascii="黑体" w:hAnsi="黑体" w:eastAsia="黑体" w:cs="宋体"/>
                <w:kern w:val="0"/>
                <w:szCs w:val="21"/>
              </w:rPr>
              <w:t>分</w:t>
            </w:r>
          </w:p>
        </w:tc>
        <w:tc>
          <w:tcPr>
            <w:tcW w:w="1256" w:type="dxa"/>
            <w:vAlign w:val="center"/>
          </w:tcPr>
          <w:p>
            <w:pPr>
              <w:jc w:val="center"/>
              <w:rPr>
                <w:rFonts w:ascii="黑体" w:hAnsi="黑体" w:eastAsia="黑体" w:cs="宋体"/>
                <w:kern w:val="0"/>
                <w:szCs w:val="21"/>
              </w:rPr>
            </w:pPr>
            <w:r>
              <w:rPr>
                <w:rFonts w:hint="eastAsia" w:ascii="黑体" w:hAnsi="黑体" w:eastAsia="黑体" w:cs="宋体"/>
                <w:kern w:val="0"/>
                <w:szCs w:val="21"/>
              </w:rPr>
              <w:t>合计</w:t>
            </w:r>
          </w:p>
          <w:p>
            <w:pPr>
              <w:jc w:val="center"/>
              <w:rPr>
                <w:rFonts w:ascii="黑体" w:hAnsi="黑体" w:eastAsia="黑体" w:cs="宋体"/>
                <w:kern w:val="0"/>
                <w:szCs w:val="21"/>
              </w:rPr>
            </w:pPr>
            <w:r>
              <w:rPr>
                <w:rFonts w:ascii="黑体" w:hAnsi="黑体" w:eastAsia="黑体" w:cs="宋体"/>
                <w:kern w:val="0"/>
                <w:szCs w:val="21"/>
              </w:rPr>
              <w:t>100</w:t>
            </w:r>
            <w:r>
              <w:rPr>
                <w:rFonts w:hint="eastAsia" w:ascii="黑体" w:hAnsi="黑体" w:eastAsia="黑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经济贸易系</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工商管理系</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会计系</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财务金融系</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电子信息工程系</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艺术设计系</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人文外语系</w:t>
            </w:r>
            <w:r>
              <w:rPr>
                <w:rFonts w:ascii="黑体" w:hAnsi="黑体" w:eastAsia="黑体" w:cs="宋体"/>
                <w:kern w:val="0"/>
                <w:szCs w:val="21"/>
              </w:rPr>
              <w:t xml:space="preserve">      </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体育教学部</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53" w:type="dxa"/>
            <w:vAlign w:val="center"/>
          </w:tcPr>
          <w:p>
            <w:pPr>
              <w:jc w:val="center"/>
              <w:rPr>
                <w:rFonts w:ascii="黑体" w:hAnsi="黑体" w:eastAsia="黑体" w:cs="宋体"/>
                <w:kern w:val="0"/>
                <w:szCs w:val="21"/>
              </w:rPr>
            </w:pPr>
            <w:r>
              <w:rPr>
                <w:rFonts w:hint="eastAsia" w:ascii="黑体" w:hAnsi="黑体" w:eastAsia="黑体" w:cs="宋体"/>
                <w:kern w:val="0"/>
                <w:szCs w:val="21"/>
              </w:rPr>
              <w:t>思政教学部</w:t>
            </w:r>
          </w:p>
        </w:tc>
        <w:tc>
          <w:tcPr>
            <w:tcW w:w="1363" w:type="dxa"/>
            <w:vAlign w:val="center"/>
          </w:tcPr>
          <w:p>
            <w:pPr>
              <w:jc w:val="center"/>
              <w:rPr>
                <w:rFonts w:ascii="黑体" w:eastAsia="黑体"/>
              </w:rPr>
            </w:pPr>
          </w:p>
        </w:tc>
        <w:tc>
          <w:tcPr>
            <w:tcW w:w="2041" w:type="dxa"/>
            <w:vAlign w:val="center"/>
          </w:tcPr>
          <w:p>
            <w:pPr>
              <w:jc w:val="center"/>
              <w:rPr>
                <w:rFonts w:ascii="黑体" w:eastAsia="黑体"/>
              </w:rPr>
            </w:pPr>
          </w:p>
        </w:tc>
        <w:tc>
          <w:tcPr>
            <w:tcW w:w="1281" w:type="dxa"/>
            <w:vAlign w:val="center"/>
          </w:tcPr>
          <w:p>
            <w:pPr>
              <w:jc w:val="center"/>
              <w:rPr>
                <w:rFonts w:ascii="黑体" w:eastAsia="黑体"/>
              </w:rPr>
            </w:pPr>
          </w:p>
        </w:tc>
        <w:tc>
          <w:tcPr>
            <w:tcW w:w="1410" w:type="dxa"/>
            <w:vAlign w:val="center"/>
          </w:tcPr>
          <w:p>
            <w:pPr>
              <w:jc w:val="center"/>
              <w:rPr>
                <w:rFonts w:ascii="黑体" w:eastAsia="黑体"/>
              </w:rPr>
            </w:pPr>
          </w:p>
        </w:tc>
        <w:tc>
          <w:tcPr>
            <w:tcW w:w="1276" w:type="dxa"/>
            <w:vAlign w:val="center"/>
          </w:tcPr>
          <w:p>
            <w:pPr>
              <w:jc w:val="center"/>
              <w:rPr>
                <w:rFonts w:ascii="黑体" w:eastAsia="黑体"/>
              </w:rPr>
            </w:pPr>
          </w:p>
        </w:tc>
        <w:tc>
          <w:tcPr>
            <w:tcW w:w="2072" w:type="dxa"/>
          </w:tcPr>
          <w:p>
            <w:pPr>
              <w:jc w:val="center"/>
              <w:rPr>
                <w:rFonts w:ascii="黑体" w:eastAsia="黑体"/>
              </w:rPr>
            </w:pPr>
          </w:p>
        </w:tc>
        <w:tc>
          <w:tcPr>
            <w:tcW w:w="1256" w:type="dxa"/>
            <w:vAlign w:val="center"/>
          </w:tcPr>
          <w:p>
            <w:pPr>
              <w:jc w:val="center"/>
              <w:rPr>
                <w:rFonts w:ascii="黑体" w:eastAsia="黑体"/>
              </w:rPr>
            </w:pPr>
          </w:p>
        </w:tc>
      </w:tr>
    </w:tbl>
    <w:p>
      <w:pPr>
        <w:rPr>
          <w:rFonts w:ascii="黑体" w:hAnsi="黑体" w:eastAsia="黑体" w:cs="Tahoma"/>
          <w:color w:val="000000"/>
          <w:kern w:val="0"/>
          <w:sz w:val="28"/>
          <w:szCs w:val="28"/>
        </w:rPr>
      </w:pPr>
      <w:r>
        <w:rPr>
          <w:rFonts w:hint="eastAsia" w:ascii="宋体"/>
          <w:b/>
          <w:sz w:val="18"/>
          <w:szCs w:val="18"/>
        </w:rPr>
        <w:t>注：</w:t>
      </w:r>
      <w:r>
        <w:rPr>
          <w:rFonts w:ascii="宋体"/>
          <w:b/>
          <w:sz w:val="18"/>
          <w:szCs w:val="18"/>
        </w:rPr>
        <w:t>1</w:t>
      </w:r>
      <w:r>
        <w:rPr>
          <w:rFonts w:hint="eastAsia" w:ascii="宋体"/>
          <w:b/>
          <w:sz w:val="18"/>
          <w:szCs w:val="18"/>
        </w:rPr>
        <w:t>、请根据相应测评指标进行考核。每个栏目最高可打满分，但不得打零分、全部相同或不打分。</w:t>
      </w:r>
      <w:r>
        <w:rPr>
          <w:sz w:val="18"/>
          <w:szCs w:val="18"/>
        </w:rPr>
        <w:t xml:space="preserve">   </w:t>
      </w:r>
      <w:r>
        <w:rPr>
          <w:rFonts w:ascii="宋体"/>
          <w:b/>
          <w:sz w:val="18"/>
          <w:szCs w:val="18"/>
        </w:rPr>
        <w:t>2</w:t>
      </w:r>
      <w:r>
        <w:rPr>
          <w:rFonts w:hint="eastAsia" w:ascii="宋体"/>
          <w:b/>
          <w:sz w:val="18"/>
          <w:szCs w:val="18"/>
        </w:rPr>
        <w:t>、请于</w:t>
      </w:r>
      <w:r>
        <w:rPr>
          <w:rFonts w:ascii="宋体"/>
          <w:b/>
          <w:sz w:val="18"/>
          <w:szCs w:val="18"/>
        </w:rPr>
        <w:t xml:space="preserve">  </w:t>
      </w:r>
      <w:r>
        <w:rPr>
          <w:rFonts w:hint="eastAsia" w:ascii="宋体"/>
          <w:b/>
          <w:sz w:val="18"/>
          <w:szCs w:val="18"/>
        </w:rPr>
        <w:t>月</w:t>
      </w:r>
      <w:r>
        <w:rPr>
          <w:rFonts w:ascii="宋体"/>
          <w:b/>
          <w:sz w:val="18"/>
          <w:szCs w:val="18"/>
        </w:rPr>
        <w:t xml:space="preserve">  </w:t>
      </w:r>
      <w:r>
        <w:rPr>
          <w:rFonts w:hint="eastAsia" w:ascii="宋体"/>
          <w:b/>
          <w:sz w:val="18"/>
          <w:szCs w:val="18"/>
        </w:rPr>
        <w:t>号下午</w:t>
      </w:r>
      <w:r>
        <w:rPr>
          <w:rFonts w:ascii="宋体"/>
          <w:b/>
          <w:sz w:val="18"/>
          <w:szCs w:val="18"/>
        </w:rPr>
        <w:t xml:space="preserve">   </w:t>
      </w:r>
      <w:r>
        <w:rPr>
          <w:rFonts w:hint="eastAsia" w:ascii="宋体"/>
          <w:b/>
          <w:sz w:val="18"/>
          <w:szCs w:val="18"/>
        </w:rPr>
        <w:t>点之前投到弘商楼投票箱内</w:t>
      </w:r>
    </w:p>
    <w:p>
      <w:pPr>
        <w:widowControl/>
        <w:shd w:val="clear" w:color="auto" w:fill="FFFFFF"/>
        <w:spacing w:line="270" w:lineRule="atLeast"/>
        <w:jc w:val="center"/>
        <w:rPr>
          <w:rFonts w:ascii="黑体" w:hAnsi="黑体" w:eastAsia="黑体" w:cs="Tahoma"/>
          <w:color w:val="000000"/>
          <w:kern w:val="0"/>
          <w:szCs w:val="21"/>
          <w:u w:val="single"/>
        </w:rPr>
      </w:pPr>
      <w:r>
        <w:rPr>
          <w:rFonts w:ascii="黑体" w:hAnsi="黑体" w:eastAsia="黑体" w:cs="Tahoma"/>
          <w:color w:val="000000"/>
          <w:kern w:val="0"/>
          <w:szCs w:val="21"/>
        </w:rPr>
        <w:t xml:space="preserve">                                                                                    </w:t>
      </w:r>
      <w:r>
        <w:rPr>
          <w:rFonts w:hint="eastAsia" w:ascii="黑体" w:hAnsi="黑体" w:eastAsia="黑体" w:cs="Tahoma"/>
          <w:color w:val="000000"/>
          <w:kern w:val="0"/>
          <w:szCs w:val="21"/>
        </w:rPr>
        <w:t>测评人：</w:t>
      </w:r>
      <w:r>
        <w:rPr>
          <w:rFonts w:ascii="黑体" w:hAnsi="黑体" w:eastAsia="黑体" w:cs="Tahoma"/>
          <w:color w:val="000000"/>
          <w:kern w:val="0"/>
          <w:szCs w:val="21"/>
          <w:u w:val="single"/>
        </w:rPr>
        <w:t xml:space="preserve">           </w:t>
      </w:r>
      <w:r>
        <w:rPr>
          <w:rFonts w:hint="eastAsia" w:ascii="黑体" w:hAnsi="黑体" w:eastAsia="黑体" w:cs="Tahoma"/>
          <w:color w:val="000000"/>
          <w:kern w:val="0"/>
          <w:szCs w:val="21"/>
          <w:u w:val="single"/>
        </w:rPr>
        <w:t>（签名）</w:t>
      </w:r>
    </w:p>
    <w:p>
      <w:pPr>
        <w:widowControl/>
        <w:shd w:val="clear" w:color="auto" w:fill="FFFFFF"/>
        <w:spacing w:line="270" w:lineRule="atLeast"/>
        <w:jc w:val="center"/>
        <w:rPr>
          <w:rFonts w:ascii="黑体" w:hAnsi="黑体" w:eastAsia="黑体" w:cs="Tahoma"/>
          <w:color w:val="000000"/>
          <w:kern w:val="0"/>
          <w:sz w:val="28"/>
          <w:szCs w:val="28"/>
        </w:rPr>
      </w:pPr>
    </w:p>
    <w:p>
      <w:pPr>
        <w:widowControl/>
        <w:shd w:val="clear" w:color="auto" w:fill="FFFFFF"/>
        <w:spacing w:line="270" w:lineRule="atLeast"/>
        <w:jc w:val="center"/>
        <w:rPr>
          <w:rFonts w:ascii="黑体" w:hAnsi="黑体" w:eastAsia="黑体" w:cs="Tahoma"/>
          <w:color w:val="000000"/>
          <w:kern w:val="0"/>
          <w:sz w:val="28"/>
          <w:szCs w:val="28"/>
        </w:rPr>
      </w:pPr>
    </w:p>
    <w:p>
      <w:pPr>
        <w:widowControl/>
        <w:shd w:val="clear" w:color="auto" w:fill="FFFFFF"/>
        <w:spacing w:line="270" w:lineRule="atLeast"/>
        <w:jc w:val="center"/>
        <w:rPr>
          <w:rFonts w:ascii="黑体" w:hAnsi="黑体" w:eastAsia="黑体" w:cs="Tahoma"/>
          <w:color w:val="000000"/>
          <w:kern w:val="0"/>
          <w:sz w:val="28"/>
          <w:szCs w:val="28"/>
        </w:rPr>
      </w:pPr>
    </w:p>
    <w:p>
      <w:pPr>
        <w:widowControl/>
        <w:shd w:val="clear" w:color="auto" w:fill="FFFFFF"/>
        <w:spacing w:line="270" w:lineRule="atLeast"/>
        <w:jc w:val="center"/>
        <w:rPr>
          <w:rFonts w:ascii="黑体" w:hAnsi="黑体" w:eastAsia="黑体" w:cs="Tahoma"/>
          <w:color w:val="000000"/>
          <w:kern w:val="0"/>
          <w:sz w:val="28"/>
          <w:szCs w:val="28"/>
        </w:rPr>
      </w:pPr>
    </w:p>
    <w:p>
      <w:pPr>
        <w:widowControl/>
        <w:shd w:val="clear" w:color="auto" w:fill="FFFFFF"/>
        <w:spacing w:line="270" w:lineRule="atLeast"/>
        <w:jc w:val="center"/>
        <w:rPr>
          <w:rFonts w:ascii="黑体" w:hAnsi="黑体" w:eastAsia="黑体" w:cs="Tahoma"/>
          <w:color w:val="000000"/>
          <w:kern w:val="0"/>
          <w:sz w:val="28"/>
          <w:szCs w:val="28"/>
        </w:rPr>
      </w:pPr>
    </w:p>
    <w:p>
      <w:pPr>
        <w:spacing w:line="360" w:lineRule="exact"/>
        <w:ind w:firstLine="281" w:firstLineChars="100"/>
        <w:jc w:val="center"/>
        <w:rPr>
          <w:rFonts w:ascii="黑体" w:eastAsia="黑体"/>
          <w:b/>
          <w:bCs/>
          <w:sz w:val="28"/>
          <w:szCs w:val="28"/>
        </w:rPr>
      </w:pPr>
    </w:p>
    <w:p>
      <w:pPr>
        <w:spacing w:line="360" w:lineRule="exact"/>
        <w:ind w:firstLine="281" w:firstLineChars="100"/>
        <w:jc w:val="center"/>
        <w:rPr>
          <w:rFonts w:ascii="黑体" w:eastAsia="黑体"/>
          <w:b/>
          <w:bCs/>
          <w:sz w:val="28"/>
          <w:szCs w:val="28"/>
        </w:rPr>
      </w:pPr>
      <w:r>
        <w:rPr>
          <w:rFonts w:hint="eastAsia" w:ascii="黑体" w:eastAsia="黑体"/>
          <w:b/>
          <w:bCs/>
          <w:sz w:val="28"/>
          <w:szCs w:val="28"/>
        </w:rPr>
        <w:t>校领导对行政部门测评打分表</w:t>
      </w:r>
      <w:r>
        <w:rPr>
          <w:rFonts w:hint="eastAsia" w:ascii="黑体" w:eastAsia="黑体"/>
          <w:b/>
          <w:sz w:val="28"/>
          <w:szCs w:val="28"/>
        </w:rPr>
        <w:t>（表二）</w:t>
      </w:r>
    </w:p>
    <w:p>
      <w:pPr>
        <w:spacing w:line="180" w:lineRule="exact"/>
        <w:rPr>
          <w:rFonts w:ascii="黑体" w:eastAsia="黑体"/>
        </w:rPr>
      </w:pPr>
    </w:p>
    <w:tbl>
      <w:tblPr>
        <w:tblStyle w:val="6"/>
        <w:tblW w:w="13319" w:type="dxa"/>
        <w:jc w:val="center"/>
        <w:tblInd w:w="-1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377"/>
        <w:gridCol w:w="1418"/>
        <w:gridCol w:w="1417"/>
        <w:gridCol w:w="1276"/>
        <w:gridCol w:w="1417"/>
        <w:gridCol w:w="206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tcBorders>
              <w:tl2br w:val="single" w:color="auto" w:sz="4" w:space="0"/>
            </w:tcBorders>
            <w:vAlign w:val="center"/>
          </w:tcPr>
          <w:p>
            <w:pPr>
              <w:jc w:val="right"/>
              <w:rPr>
                <w:rFonts w:ascii="黑体" w:hAnsi="黑体" w:eastAsia="黑体" w:cs="宋体"/>
                <w:kern w:val="0"/>
                <w:szCs w:val="21"/>
              </w:rPr>
            </w:pPr>
            <w:r>
              <w:rPr>
                <w:rFonts w:ascii="黑体" w:hAnsi="黑体" w:eastAsia="黑体" w:cs="宋体"/>
                <w:kern w:val="0"/>
                <w:szCs w:val="21"/>
              </w:rPr>
              <w:t xml:space="preserve">  </w:t>
            </w:r>
            <w:r>
              <w:rPr>
                <w:rFonts w:hint="eastAsia" w:ascii="黑体" w:hAnsi="黑体" w:eastAsia="黑体" w:cs="宋体"/>
                <w:kern w:val="0"/>
                <w:szCs w:val="21"/>
              </w:rPr>
              <w:t>考核内容</w:t>
            </w:r>
          </w:p>
          <w:p>
            <w:pPr>
              <w:jc w:val="center"/>
              <w:rPr>
                <w:rFonts w:ascii="黑体" w:hAnsi="黑体" w:eastAsia="黑体" w:cs="宋体"/>
                <w:kern w:val="0"/>
                <w:szCs w:val="21"/>
              </w:rPr>
            </w:pPr>
          </w:p>
          <w:p>
            <w:pPr>
              <w:jc w:val="left"/>
              <w:rPr>
                <w:rFonts w:ascii="宋体"/>
                <w:sz w:val="24"/>
              </w:rPr>
            </w:pPr>
            <w:r>
              <w:rPr>
                <w:rFonts w:hint="eastAsia" w:ascii="黑体" w:hAnsi="黑体" w:eastAsia="黑体" w:cs="宋体"/>
                <w:kern w:val="0"/>
                <w:szCs w:val="21"/>
              </w:rPr>
              <w:t>被测评对象</w:t>
            </w:r>
          </w:p>
        </w:tc>
        <w:tc>
          <w:tcPr>
            <w:tcW w:w="1377" w:type="dxa"/>
            <w:vAlign w:val="center"/>
          </w:tcPr>
          <w:p>
            <w:pPr>
              <w:jc w:val="center"/>
              <w:rPr>
                <w:rFonts w:ascii="黑体" w:hAnsi="黑体" w:eastAsia="黑体"/>
                <w:szCs w:val="21"/>
              </w:rPr>
            </w:pPr>
            <w:r>
              <w:rPr>
                <w:rFonts w:hint="eastAsia" w:ascii="黑体" w:hAnsi="黑体" w:eastAsia="黑体"/>
                <w:szCs w:val="21"/>
              </w:rPr>
              <w:t>党建和思想政治工作</w:t>
            </w:r>
          </w:p>
          <w:p>
            <w:pPr>
              <w:jc w:val="center"/>
              <w:rPr>
                <w:rFonts w:ascii="黑体" w:hAnsi="黑体" w:eastAsia="黑体"/>
                <w:szCs w:val="21"/>
              </w:rPr>
            </w:pPr>
            <w:r>
              <w:rPr>
                <w:rFonts w:ascii="黑体" w:hAnsi="黑体" w:eastAsia="黑体"/>
                <w:szCs w:val="21"/>
              </w:rPr>
              <w:t>20</w:t>
            </w:r>
            <w:r>
              <w:rPr>
                <w:rFonts w:hint="eastAsia" w:ascii="黑体" w:hAnsi="黑体" w:eastAsia="黑体"/>
                <w:szCs w:val="21"/>
              </w:rPr>
              <w:t>分</w:t>
            </w:r>
          </w:p>
        </w:tc>
        <w:tc>
          <w:tcPr>
            <w:tcW w:w="1418" w:type="dxa"/>
            <w:vAlign w:val="center"/>
          </w:tcPr>
          <w:p>
            <w:pPr>
              <w:jc w:val="center"/>
              <w:rPr>
                <w:rFonts w:ascii="黑体" w:hAnsi="黑体" w:eastAsia="黑体"/>
                <w:szCs w:val="21"/>
              </w:rPr>
            </w:pPr>
            <w:r>
              <w:rPr>
                <w:rFonts w:hint="eastAsia" w:ascii="黑体" w:hAnsi="黑体" w:eastAsia="黑体"/>
                <w:szCs w:val="21"/>
              </w:rPr>
              <w:t>年度任务执行情况</w:t>
            </w:r>
          </w:p>
          <w:p>
            <w:pPr>
              <w:jc w:val="center"/>
              <w:rPr>
                <w:rFonts w:ascii="黑体" w:hAnsi="黑体" w:eastAsia="黑体"/>
                <w:szCs w:val="21"/>
              </w:rPr>
            </w:pPr>
            <w:r>
              <w:rPr>
                <w:rFonts w:ascii="黑体" w:hAnsi="黑体" w:eastAsia="黑体"/>
                <w:szCs w:val="21"/>
              </w:rPr>
              <w:t>20</w:t>
            </w:r>
            <w:r>
              <w:rPr>
                <w:rFonts w:hint="eastAsia" w:ascii="黑体" w:hAnsi="黑体" w:eastAsia="黑体"/>
                <w:szCs w:val="21"/>
              </w:rPr>
              <w:t>分</w:t>
            </w:r>
          </w:p>
        </w:tc>
        <w:tc>
          <w:tcPr>
            <w:tcW w:w="1417" w:type="dxa"/>
            <w:vAlign w:val="center"/>
          </w:tcPr>
          <w:p>
            <w:pPr>
              <w:jc w:val="center"/>
              <w:rPr>
                <w:rFonts w:ascii="黑体" w:hAnsi="黑体" w:eastAsia="黑体" w:cs="宋体"/>
                <w:kern w:val="0"/>
                <w:szCs w:val="21"/>
              </w:rPr>
            </w:pPr>
            <w:r>
              <w:rPr>
                <w:rFonts w:hint="eastAsia" w:ascii="黑体" w:hAnsi="黑体" w:eastAsia="黑体" w:cs="宋体"/>
                <w:kern w:val="0"/>
                <w:szCs w:val="21"/>
              </w:rPr>
              <w:t>履行部门</w:t>
            </w:r>
          </w:p>
          <w:p>
            <w:pPr>
              <w:jc w:val="center"/>
              <w:rPr>
                <w:rFonts w:ascii="黑体" w:hAnsi="黑体" w:eastAsia="黑体" w:cs="宋体"/>
                <w:kern w:val="0"/>
                <w:szCs w:val="21"/>
              </w:rPr>
            </w:pPr>
            <w:r>
              <w:rPr>
                <w:rFonts w:hint="eastAsia" w:ascii="黑体" w:hAnsi="黑体" w:eastAsia="黑体" w:cs="宋体"/>
                <w:kern w:val="0"/>
                <w:szCs w:val="21"/>
              </w:rPr>
              <w:t>工作职责</w:t>
            </w:r>
          </w:p>
          <w:p>
            <w:pPr>
              <w:jc w:val="center"/>
              <w:rPr>
                <w:rFonts w:ascii="黑体" w:hAnsi="黑体" w:eastAsia="黑体"/>
                <w:szCs w:val="21"/>
              </w:rPr>
            </w:pPr>
            <w:r>
              <w:rPr>
                <w:rFonts w:ascii="黑体" w:hAnsi="黑体" w:eastAsia="黑体" w:cs="宋体"/>
                <w:kern w:val="0"/>
                <w:szCs w:val="21"/>
              </w:rPr>
              <w:t>20</w:t>
            </w:r>
            <w:r>
              <w:rPr>
                <w:rFonts w:hint="eastAsia" w:ascii="黑体" w:hAnsi="黑体" w:eastAsia="黑体" w:cs="宋体"/>
                <w:kern w:val="0"/>
                <w:szCs w:val="21"/>
              </w:rPr>
              <w:t>分</w:t>
            </w:r>
          </w:p>
        </w:tc>
        <w:tc>
          <w:tcPr>
            <w:tcW w:w="1276" w:type="dxa"/>
            <w:vAlign w:val="center"/>
          </w:tcPr>
          <w:p>
            <w:pPr>
              <w:jc w:val="center"/>
              <w:rPr>
                <w:rFonts w:ascii="黑体" w:hAnsi="黑体" w:eastAsia="黑体"/>
                <w:szCs w:val="21"/>
              </w:rPr>
            </w:pPr>
            <w:r>
              <w:rPr>
                <w:rFonts w:hint="eastAsia" w:ascii="黑体" w:hAnsi="黑体" w:eastAsia="黑体"/>
                <w:szCs w:val="21"/>
              </w:rPr>
              <w:t>工作效能、</w:t>
            </w:r>
          </w:p>
          <w:p>
            <w:pPr>
              <w:jc w:val="center"/>
              <w:rPr>
                <w:rFonts w:ascii="黑体" w:hAnsi="黑体" w:eastAsia="黑体"/>
                <w:szCs w:val="21"/>
              </w:rPr>
            </w:pPr>
            <w:r>
              <w:rPr>
                <w:rFonts w:hint="eastAsia" w:ascii="黑体" w:hAnsi="黑体" w:eastAsia="黑体"/>
                <w:szCs w:val="21"/>
              </w:rPr>
              <w:t>工作创新</w:t>
            </w:r>
          </w:p>
          <w:p>
            <w:pPr>
              <w:jc w:val="center"/>
              <w:rPr>
                <w:rFonts w:ascii="黑体" w:hAnsi="黑体" w:eastAsia="黑体"/>
                <w:szCs w:val="21"/>
              </w:rPr>
            </w:pPr>
            <w:r>
              <w:rPr>
                <w:rFonts w:ascii="黑体" w:hAnsi="黑体" w:eastAsia="黑体"/>
                <w:szCs w:val="21"/>
              </w:rPr>
              <w:t>10</w:t>
            </w:r>
            <w:r>
              <w:rPr>
                <w:rFonts w:hint="eastAsia" w:ascii="黑体" w:hAnsi="黑体" w:eastAsia="黑体"/>
                <w:szCs w:val="21"/>
              </w:rPr>
              <w:t>分</w:t>
            </w:r>
          </w:p>
        </w:tc>
        <w:tc>
          <w:tcPr>
            <w:tcW w:w="1417" w:type="dxa"/>
            <w:vAlign w:val="center"/>
          </w:tcPr>
          <w:p>
            <w:pPr>
              <w:jc w:val="center"/>
              <w:rPr>
                <w:rFonts w:ascii="黑体" w:hAnsi="黑体" w:eastAsia="黑体" w:cs="宋体"/>
                <w:kern w:val="0"/>
                <w:szCs w:val="21"/>
              </w:rPr>
            </w:pPr>
            <w:r>
              <w:rPr>
                <w:rFonts w:hint="eastAsia" w:ascii="黑体" w:hAnsi="黑体" w:eastAsia="黑体" w:cs="宋体"/>
                <w:kern w:val="0"/>
                <w:szCs w:val="21"/>
              </w:rPr>
              <w:t>服务意识、</w:t>
            </w:r>
          </w:p>
          <w:p>
            <w:pPr>
              <w:jc w:val="center"/>
              <w:rPr>
                <w:rFonts w:ascii="黑体" w:hAnsi="黑体" w:eastAsia="黑体" w:cs="宋体"/>
                <w:kern w:val="0"/>
                <w:szCs w:val="21"/>
              </w:rPr>
            </w:pPr>
            <w:r>
              <w:rPr>
                <w:rFonts w:hint="eastAsia" w:ascii="黑体" w:hAnsi="黑体" w:eastAsia="黑体" w:cs="宋体"/>
                <w:kern w:val="0"/>
                <w:szCs w:val="21"/>
              </w:rPr>
              <w:t>服务水平</w:t>
            </w:r>
          </w:p>
          <w:p>
            <w:pPr>
              <w:jc w:val="center"/>
              <w:rPr>
                <w:rFonts w:ascii="黑体" w:hAnsi="黑体" w:eastAsia="黑体"/>
                <w:szCs w:val="21"/>
              </w:rPr>
            </w:pPr>
            <w:r>
              <w:rPr>
                <w:rFonts w:ascii="黑体" w:hAnsi="黑体" w:eastAsia="黑体" w:cs="宋体"/>
                <w:kern w:val="0"/>
                <w:szCs w:val="21"/>
              </w:rPr>
              <w:t>20</w:t>
            </w:r>
            <w:r>
              <w:rPr>
                <w:rFonts w:hint="eastAsia" w:ascii="黑体" w:hAnsi="黑体" w:eastAsia="黑体" w:cs="宋体"/>
                <w:kern w:val="0"/>
                <w:szCs w:val="21"/>
              </w:rPr>
              <w:t>分</w:t>
            </w:r>
          </w:p>
        </w:tc>
        <w:tc>
          <w:tcPr>
            <w:tcW w:w="2067" w:type="dxa"/>
            <w:vAlign w:val="center"/>
          </w:tcPr>
          <w:p>
            <w:pPr>
              <w:jc w:val="center"/>
              <w:rPr>
                <w:rFonts w:ascii="黑体" w:hAnsi="黑体" w:eastAsia="黑体" w:cs="宋体"/>
                <w:kern w:val="0"/>
                <w:szCs w:val="21"/>
              </w:rPr>
            </w:pPr>
            <w:r>
              <w:rPr>
                <w:rFonts w:hint="eastAsia" w:ascii="黑体" w:hAnsi="黑体" w:eastAsia="黑体" w:cs="宋体"/>
                <w:kern w:val="0"/>
                <w:szCs w:val="21"/>
              </w:rPr>
              <w:t>部门自身建设及</w:t>
            </w:r>
          </w:p>
          <w:p>
            <w:pPr>
              <w:jc w:val="center"/>
              <w:rPr>
                <w:rFonts w:ascii="黑体" w:hAnsi="黑体" w:eastAsia="黑体" w:cs="宋体"/>
                <w:kern w:val="0"/>
                <w:szCs w:val="21"/>
              </w:rPr>
            </w:pPr>
            <w:r>
              <w:rPr>
                <w:rFonts w:hint="eastAsia" w:ascii="黑体" w:hAnsi="黑体" w:eastAsia="黑体" w:cs="宋体"/>
                <w:kern w:val="0"/>
                <w:szCs w:val="21"/>
              </w:rPr>
              <w:t>廉政建设</w:t>
            </w:r>
          </w:p>
          <w:p>
            <w:pPr>
              <w:jc w:val="center"/>
              <w:rPr>
                <w:rFonts w:ascii="黑体" w:hAnsi="黑体" w:eastAsia="黑体" w:cs="宋体"/>
                <w:kern w:val="0"/>
                <w:szCs w:val="21"/>
              </w:rPr>
            </w:pPr>
            <w:r>
              <w:rPr>
                <w:rFonts w:ascii="黑体" w:hAnsi="黑体" w:eastAsia="黑体" w:cs="宋体"/>
                <w:kern w:val="0"/>
                <w:szCs w:val="21"/>
              </w:rPr>
              <w:t>10</w:t>
            </w:r>
            <w:r>
              <w:rPr>
                <w:rFonts w:hint="eastAsia" w:ascii="黑体" w:hAnsi="黑体" w:eastAsia="黑体" w:cs="宋体"/>
                <w:kern w:val="0"/>
                <w:szCs w:val="21"/>
              </w:rPr>
              <w:t>分</w:t>
            </w:r>
          </w:p>
        </w:tc>
        <w:tc>
          <w:tcPr>
            <w:tcW w:w="1418" w:type="dxa"/>
            <w:vAlign w:val="center"/>
          </w:tcPr>
          <w:p>
            <w:pPr>
              <w:jc w:val="center"/>
              <w:rPr>
                <w:rFonts w:ascii="黑体" w:hAnsi="黑体" w:eastAsia="黑体"/>
                <w:szCs w:val="21"/>
              </w:rPr>
            </w:pPr>
            <w:r>
              <w:rPr>
                <w:rFonts w:hint="eastAsia" w:ascii="黑体" w:hAnsi="黑体" w:eastAsia="黑体"/>
                <w:szCs w:val="21"/>
              </w:rPr>
              <w:t>合计</w:t>
            </w:r>
          </w:p>
          <w:p>
            <w:pPr>
              <w:jc w:val="center"/>
              <w:rPr>
                <w:rFonts w:ascii="黑体" w:hAnsi="黑体" w:eastAsia="黑体"/>
                <w:szCs w:val="21"/>
              </w:rPr>
            </w:pPr>
            <w:r>
              <w:rPr>
                <w:rFonts w:ascii="黑体" w:hAnsi="黑体" w:eastAsia="黑体"/>
                <w:szCs w:val="21"/>
              </w:rPr>
              <w:t>100</w:t>
            </w:r>
            <w:r>
              <w:rPr>
                <w:rFonts w:hint="eastAsia" w:ascii="黑体" w:hAnsi="黑体" w:eastAsia="黑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办公室</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组织人事处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宣传统战部</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纪委办公室、监察审计处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教务处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实验实训中心（校企合作处）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督导室</w:t>
            </w:r>
            <w:r>
              <w:rPr>
                <w:rFonts w:ascii="黑体" w:hAnsi="黑体" w:eastAsia="黑体" w:cs="宋体"/>
                <w:kern w:val="0"/>
                <w:szCs w:val="21"/>
              </w:rPr>
              <w:t xml:space="preserve">      </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科研处（学报编辑部）</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学生工作处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招生就业处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财务处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工会</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团委</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后勤管理处</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国有资产管理办公室</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保卫处</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图书馆</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继续教育学院</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信息管理中心</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校医院</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bl>
    <w:p>
      <w:pPr>
        <w:rPr>
          <w:rFonts w:ascii="宋体"/>
          <w:b/>
          <w:sz w:val="18"/>
          <w:szCs w:val="18"/>
        </w:rPr>
      </w:pPr>
      <w:r>
        <w:rPr>
          <w:rFonts w:hint="eastAsia" w:ascii="宋体"/>
          <w:b/>
          <w:sz w:val="18"/>
          <w:szCs w:val="18"/>
        </w:rPr>
        <w:t>注：</w:t>
      </w:r>
      <w:r>
        <w:rPr>
          <w:rFonts w:ascii="宋体"/>
          <w:b/>
          <w:sz w:val="18"/>
          <w:szCs w:val="18"/>
        </w:rPr>
        <w:t>1</w:t>
      </w:r>
      <w:r>
        <w:rPr>
          <w:rFonts w:hint="eastAsia" w:ascii="宋体"/>
          <w:b/>
          <w:sz w:val="18"/>
          <w:szCs w:val="18"/>
        </w:rPr>
        <w:t>、请根据相应测评指标进行考核。每个栏目最高可打满分，但不得打零分、全部相同或不打分。</w:t>
      </w:r>
      <w:r>
        <w:rPr>
          <w:sz w:val="18"/>
          <w:szCs w:val="18"/>
        </w:rPr>
        <w:t xml:space="preserve">   </w:t>
      </w:r>
      <w:r>
        <w:rPr>
          <w:rFonts w:ascii="宋体"/>
          <w:b/>
          <w:sz w:val="18"/>
          <w:szCs w:val="18"/>
        </w:rPr>
        <w:t xml:space="preserve"> 2</w:t>
      </w:r>
      <w:r>
        <w:rPr>
          <w:rFonts w:hint="eastAsia" w:ascii="宋体"/>
          <w:b/>
          <w:sz w:val="18"/>
          <w:szCs w:val="18"/>
        </w:rPr>
        <w:t>、请于</w:t>
      </w:r>
      <w:r>
        <w:rPr>
          <w:rFonts w:ascii="宋体"/>
          <w:b/>
          <w:sz w:val="18"/>
          <w:szCs w:val="18"/>
        </w:rPr>
        <w:t xml:space="preserve">  </w:t>
      </w:r>
      <w:r>
        <w:rPr>
          <w:rFonts w:hint="eastAsia" w:ascii="宋体"/>
          <w:b/>
          <w:sz w:val="18"/>
          <w:szCs w:val="18"/>
        </w:rPr>
        <w:t>月</w:t>
      </w:r>
      <w:r>
        <w:rPr>
          <w:rFonts w:ascii="宋体"/>
          <w:b/>
          <w:sz w:val="18"/>
          <w:szCs w:val="18"/>
        </w:rPr>
        <w:t xml:space="preserve">  </w:t>
      </w:r>
      <w:r>
        <w:rPr>
          <w:rFonts w:hint="eastAsia" w:ascii="宋体"/>
          <w:b/>
          <w:sz w:val="18"/>
          <w:szCs w:val="18"/>
        </w:rPr>
        <w:t>号下午</w:t>
      </w:r>
      <w:r>
        <w:rPr>
          <w:rFonts w:ascii="宋体"/>
          <w:b/>
          <w:sz w:val="18"/>
          <w:szCs w:val="18"/>
        </w:rPr>
        <w:t xml:space="preserve">   </w:t>
      </w:r>
      <w:r>
        <w:rPr>
          <w:rFonts w:hint="eastAsia" w:ascii="宋体"/>
          <w:b/>
          <w:sz w:val="18"/>
          <w:szCs w:val="18"/>
        </w:rPr>
        <w:t>点之前投到弘商楼投票箱内</w:t>
      </w:r>
    </w:p>
    <w:p>
      <w:pPr>
        <w:ind w:firstLine="10500" w:firstLineChars="5000"/>
        <w:rPr>
          <w:rFonts w:ascii="宋体"/>
          <w:b/>
          <w:sz w:val="18"/>
          <w:szCs w:val="18"/>
        </w:rPr>
      </w:pPr>
      <w:r>
        <w:rPr>
          <w:rFonts w:hint="eastAsia" w:ascii="黑体" w:hAnsi="黑体" w:eastAsia="黑体" w:cs="Tahoma"/>
          <w:color w:val="000000"/>
          <w:kern w:val="0"/>
          <w:szCs w:val="21"/>
        </w:rPr>
        <w:t>测评人：</w:t>
      </w:r>
      <w:r>
        <w:rPr>
          <w:rFonts w:ascii="黑体" w:hAnsi="黑体" w:eastAsia="黑体" w:cs="Tahoma"/>
          <w:color w:val="000000"/>
          <w:kern w:val="0"/>
          <w:szCs w:val="21"/>
          <w:u w:val="single"/>
        </w:rPr>
        <w:t xml:space="preserve">           </w:t>
      </w:r>
      <w:r>
        <w:rPr>
          <w:rFonts w:hint="eastAsia" w:ascii="黑体" w:hAnsi="黑体" w:eastAsia="黑体" w:cs="Tahoma"/>
          <w:color w:val="000000"/>
          <w:kern w:val="0"/>
          <w:szCs w:val="21"/>
          <w:u w:val="single"/>
        </w:rPr>
        <w:t>（签名）</w:t>
      </w:r>
    </w:p>
    <w:p>
      <w:pPr>
        <w:widowControl/>
        <w:shd w:val="clear" w:color="auto" w:fill="FFFFFF"/>
        <w:spacing w:line="270" w:lineRule="atLeast"/>
        <w:jc w:val="center"/>
        <w:rPr>
          <w:rFonts w:ascii="宋体" w:cs="Tahoma"/>
          <w:color w:val="000000"/>
          <w:kern w:val="0"/>
          <w:sz w:val="28"/>
          <w:szCs w:val="28"/>
        </w:rPr>
      </w:pPr>
      <w:r>
        <w:rPr>
          <w:rFonts w:hint="eastAsia" w:ascii="黑体" w:eastAsia="黑体"/>
          <w:b/>
          <w:bCs/>
          <w:sz w:val="28"/>
          <w:szCs w:val="28"/>
        </w:rPr>
        <w:t>行政部门对系部</w:t>
      </w:r>
      <w:r>
        <w:rPr>
          <w:rFonts w:hint="eastAsia" w:ascii="黑体" w:eastAsia="黑体"/>
          <w:b/>
          <w:sz w:val="28"/>
          <w:szCs w:val="28"/>
        </w:rPr>
        <w:t>测评打分表（表三）</w:t>
      </w:r>
    </w:p>
    <w:tbl>
      <w:tblPr>
        <w:tblStyle w:val="6"/>
        <w:tblW w:w="13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699"/>
        <w:gridCol w:w="701"/>
        <w:gridCol w:w="1278"/>
        <w:gridCol w:w="701"/>
        <w:gridCol w:w="1069"/>
        <w:gridCol w:w="796"/>
        <w:gridCol w:w="886"/>
        <w:gridCol w:w="859"/>
        <w:gridCol w:w="674"/>
        <w:gridCol w:w="713"/>
        <w:gridCol w:w="806"/>
        <w:gridCol w:w="806"/>
        <w:gridCol w:w="80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tcBorders>
              <w:tl2br w:val="single" w:color="auto" w:sz="4" w:space="0"/>
            </w:tcBorders>
            <w:vAlign w:val="center"/>
          </w:tcPr>
          <w:p>
            <w:pPr>
              <w:jc w:val="right"/>
              <w:rPr>
                <w:rFonts w:ascii="黑体" w:hAnsi="黑体" w:eastAsia="黑体" w:cs="宋体"/>
                <w:kern w:val="0"/>
                <w:szCs w:val="21"/>
              </w:rPr>
            </w:pPr>
            <w:r>
              <w:rPr>
                <w:rFonts w:ascii="黑体" w:hAnsi="黑体" w:eastAsia="黑体" w:cs="宋体"/>
                <w:kern w:val="0"/>
                <w:szCs w:val="21"/>
              </w:rPr>
              <w:t xml:space="preserve">  </w:t>
            </w:r>
            <w:r>
              <w:rPr>
                <w:rFonts w:hint="eastAsia" w:ascii="黑体" w:hAnsi="黑体" w:eastAsia="黑体" w:cs="宋体"/>
                <w:kern w:val="0"/>
                <w:szCs w:val="21"/>
              </w:rPr>
              <w:t>考核内容</w:t>
            </w:r>
          </w:p>
          <w:p>
            <w:pPr>
              <w:jc w:val="center"/>
              <w:rPr>
                <w:rFonts w:ascii="黑体" w:hAnsi="黑体" w:eastAsia="黑体" w:cs="宋体"/>
                <w:kern w:val="0"/>
                <w:szCs w:val="21"/>
              </w:rPr>
            </w:pPr>
          </w:p>
          <w:p>
            <w:pPr>
              <w:jc w:val="left"/>
              <w:rPr>
                <w:rFonts w:ascii="宋体"/>
                <w:sz w:val="24"/>
              </w:rPr>
            </w:pPr>
            <w:r>
              <w:rPr>
                <w:rFonts w:hint="eastAsia" w:ascii="黑体" w:hAnsi="黑体" w:eastAsia="黑体" w:cs="宋体"/>
                <w:kern w:val="0"/>
                <w:szCs w:val="21"/>
              </w:rPr>
              <w:t>被测评对象</w:t>
            </w:r>
          </w:p>
        </w:tc>
        <w:tc>
          <w:tcPr>
            <w:tcW w:w="699" w:type="dxa"/>
            <w:vAlign w:val="center"/>
          </w:tcPr>
          <w:p>
            <w:pPr>
              <w:jc w:val="center"/>
              <w:rPr>
                <w:rFonts w:ascii="黑体" w:hAnsi="黑体" w:eastAsia="黑体"/>
                <w:szCs w:val="21"/>
              </w:rPr>
            </w:pPr>
            <w:r>
              <w:rPr>
                <w:rFonts w:hint="eastAsia" w:ascii="黑体" w:hAnsi="黑体" w:eastAsia="黑体"/>
                <w:szCs w:val="21"/>
              </w:rPr>
              <w:t>党建</w:t>
            </w:r>
          </w:p>
          <w:p>
            <w:pPr>
              <w:jc w:val="center"/>
              <w:rPr>
                <w:rFonts w:ascii="黑体" w:hAnsi="黑体" w:eastAsia="黑体"/>
                <w:szCs w:val="21"/>
              </w:rPr>
            </w:pPr>
            <w:r>
              <w:rPr>
                <w:rFonts w:hint="eastAsia" w:ascii="黑体" w:hAnsi="黑体" w:eastAsia="黑体"/>
                <w:szCs w:val="21"/>
              </w:rPr>
              <w:t>工作</w:t>
            </w:r>
          </w:p>
          <w:p>
            <w:pPr>
              <w:jc w:val="center"/>
              <w:rPr>
                <w:rFonts w:ascii="黑体" w:hAnsi="黑体" w:eastAsia="黑体"/>
                <w:szCs w:val="21"/>
              </w:rPr>
            </w:pPr>
            <w:r>
              <w:rPr>
                <w:rFonts w:ascii="黑体" w:hAnsi="黑体" w:eastAsia="黑体" w:cs="宋体"/>
                <w:kern w:val="0"/>
                <w:szCs w:val="21"/>
              </w:rPr>
              <w:t>20</w:t>
            </w:r>
            <w:r>
              <w:rPr>
                <w:rFonts w:hint="eastAsia" w:ascii="黑体" w:hAnsi="黑体" w:eastAsia="黑体" w:cs="宋体"/>
                <w:kern w:val="0"/>
                <w:szCs w:val="21"/>
              </w:rPr>
              <w:t>分</w:t>
            </w:r>
          </w:p>
        </w:tc>
        <w:tc>
          <w:tcPr>
            <w:tcW w:w="701" w:type="dxa"/>
            <w:vAlign w:val="center"/>
          </w:tcPr>
          <w:p>
            <w:pPr>
              <w:jc w:val="center"/>
              <w:rPr>
                <w:rFonts w:ascii="黑体" w:hAnsi="黑体" w:eastAsia="黑体" w:cs="宋体"/>
                <w:kern w:val="0"/>
                <w:szCs w:val="21"/>
              </w:rPr>
            </w:pPr>
            <w:r>
              <w:rPr>
                <w:rFonts w:hint="eastAsia" w:ascii="黑体" w:hAnsi="黑体" w:eastAsia="黑体" w:cs="宋体"/>
                <w:kern w:val="0"/>
                <w:szCs w:val="21"/>
              </w:rPr>
              <w:t>廉政</w:t>
            </w:r>
          </w:p>
          <w:p>
            <w:pPr>
              <w:jc w:val="center"/>
              <w:rPr>
                <w:rFonts w:ascii="黑体" w:hAnsi="黑体" w:eastAsia="黑体" w:cs="宋体"/>
                <w:kern w:val="0"/>
                <w:szCs w:val="21"/>
              </w:rPr>
            </w:pPr>
            <w:r>
              <w:rPr>
                <w:rFonts w:hint="eastAsia" w:ascii="黑体" w:hAnsi="黑体" w:eastAsia="黑体" w:cs="宋体"/>
                <w:kern w:val="0"/>
                <w:szCs w:val="21"/>
              </w:rPr>
              <w:t>建设</w:t>
            </w:r>
          </w:p>
          <w:p>
            <w:pPr>
              <w:jc w:val="center"/>
              <w:rPr>
                <w:rFonts w:ascii="黑体" w:hAnsi="黑体" w:eastAsia="黑体"/>
                <w:szCs w:val="21"/>
              </w:rPr>
            </w:pPr>
            <w:r>
              <w:rPr>
                <w:rFonts w:ascii="黑体" w:hAnsi="黑体" w:eastAsia="黑体"/>
                <w:szCs w:val="21"/>
              </w:rPr>
              <w:t>5</w:t>
            </w:r>
            <w:r>
              <w:rPr>
                <w:rFonts w:hint="eastAsia" w:ascii="黑体" w:hAnsi="黑体" w:eastAsia="黑体"/>
                <w:szCs w:val="21"/>
              </w:rPr>
              <w:t>分</w:t>
            </w:r>
          </w:p>
        </w:tc>
        <w:tc>
          <w:tcPr>
            <w:tcW w:w="1278" w:type="dxa"/>
            <w:vAlign w:val="center"/>
          </w:tcPr>
          <w:p>
            <w:pPr>
              <w:jc w:val="center"/>
              <w:rPr>
                <w:rFonts w:ascii="黑体" w:hAnsi="黑体" w:eastAsia="黑体"/>
                <w:szCs w:val="21"/>
              </w:rPr>
            </w:pPr>
            <w:r>
              <w:rPr>
                <w:rFonts w:hint="eastAsia" w:ascii="黑体" w:hAnsi="黑体" w:eastAsia="黑体"/>
                <w:szCs w:val="21"/>
              </w:rPr>
              <w:t>精神文明建设与宣传、文化工作</w:t>
            </w:r>
          </w:p>
          <w:p>
            <w:pPr>
              <w:jc w:val="center"/>
              <w:rPr>
                <w:rFonts w:ascii="黑体" w:hAnsi="黑体" w:eastAsia="黑体"/>
                <w:szCs w:val="21"/>
              </w:rPr>
            </w:pPr>
            <w:r>
              <w:rPr>
                <w:rFonts w:ascii="黑体" w:hAnsi="黑体" w:eastAsia="黑体"/>
                <w:szCs w:val="21"/>
              </w:rPr>
              <w:t>3</w:t>
            </w:r>
            <w:r>
              <w:rPr>
                <w:rFonts w:hint="eastAsia" w:ascii="黑体" w:hAnsi="黑体" w:eastAsia="黑体"/>
                <w:szCs w:val="21"/>
              </w:rPr>
              <w:t>分</w:t>
            </w:r>
          </w:p>
        </w:tc>
        <w:tc>
          <w:tcPr>
            <w:tcW w:w="701" w:type="dxa"/>
            <w:vAlign w:val="center"/>
          </w:tcPr>
          <w:p>
            <w:pPr>
              <w:jc w:val="center"/>
              <w:rPr>
                <w:rFonts w:ascii="黑体" w:hAnsi="黑体" w:eastAsia="黑体" w:cs="宋体"/>
                <w:kern w:val="0"/>
                <w:szCs w:val="21"/>
              </w:rPr>
            </w:pPr>
            <w:r>
              <w:rPr>
                <w:rFonts w:hint="eastAsia" w:ascii="黑体" w:hAnsi="黑体" w:eastAsia="黑体" w:cs="宋体"/>
                <w:kern w:val="0"/>
                <w:szCs w:val="21"/>
              </w:rPr>
              <w:t>综合</w:t>
            </w:r>
          </w:p>
          <w:p>
            <w:pPr>
              <w:jc w:val="center"/>
              <w:rPr>
                <w:rFonts w:ascii="黑体" w:hAnsi="黑体" w:eastAsia="黑体" w:cs="宋体"/>
                <w:kern w:val="0"/>
                <w:szCs w:val="21"/>
              </w:rPr>
            </w:pPr>
            <w:r>
              <w:rPr>
                <w:rFonts w:hint="eastAsia" w:ascii="黑体" w:hAnsi="黑体" w:eastAsia="黑体" w:cs="宋体"/>
                <w:kern w:val="0"/>
                <w:szCs w:val="21"/>
              </w:rPr>
              <w:t>考核</w:t>
            </w:r>
          </w:p>
          <w:p>
            <w:pPr>
              <w:jc w:val="center"/>
              <w:rPr>
                <w:rFonts w:ascii="黑体" w:hAnsi="黑体" w:eastAsia="黑体"/>
                <w:szCs w:val="21"/>
              </w:rPr>
            </w:pPr>
            <w:r>
              <w:rPr>
                <w:rFonts w:ascii="黑体" w:hAnsi="黑体" w:eastAsia="黑体" w:cs="宋体"/>
                <w:kern w:val="0"/>
                <w:szCs w:val="21"/>
              </w:rPr>
              <w:t>5</w:t>
            </w:r>
            <w:r>
              <w:rPr>
                <w:rFonts w:hint="eastAsia" w:ascii="黑体" w:hAnsi="黑体" w:eastAsia="黑体" w:cs="宋体"/>
                <w:kern w:val="0"/>
                <w:szCs w:val="21"/>
              </w:rPr>
              <w:t>分</w:t>
            </w:r>
          </w:p>
        </w:tc>
        <w:tc>
          <w:tcPr>
            <w:tcW w:w="1069" w:type="dxa"/>
            <w:vAlign w:val="center"/>
          </w:tcPr>
          <w:p>
            <w:pPr>
              <w:jc w:val="center"/>
              <w:rPr>
                <w:rFonts w:ascii="黑体" w:hAnsi="黑体" w:eastAsia="黑体"/>
                <w:szCs w:val="21"/>
              </w:rPr>
            </w:pPr>
            <w:r>
              <w:rPr>
                <w:rFonts w:hint="eastAsia" w:ascii="黑体" w:hAnsi="黑体" w:eastAsia="黑体"/>
                <w:szCs w:val="21"/>
              </w:rPr>
              <w:t>师资队伍建设与人事工作</w:t>
            </w:r>
          </w:p>
          <w:p>
            <w:pPr>
              <w:jc w:val="center"/>
              <w:rPr>
                <w:rFonts w:ascii="黑体" w:hAnsi="黑体" w:eastAsia="黑体"/>
                <w:szCs w:val="21"/>
              </w:rPr>
            </w:pPr>
            <w:r>
              <w:rPr>
                <w:rFonts w:ascii="黑体" w:hAnsi="黑体" w:eastAsia="黑体"/>
                <w:szCs w:val="21"/>
              </w:rPr>
              <w:t>5</w:t>
            </w:r>
            <w:r>
              <w:rPr>
                <w:rFonts w:hint="eastAsia" w:ascii="黑体" w:hAnsi="黑体" w:eastAsia="黑体"/>
                <w:szCs w:val="21"/>
              </w:rPr>
              <w:t>分</w:t>
            </w:r>
          </w:p>
        </w:tc>
        <w:tc>
          <w:tcPr>
            <w:tcW w:w="796" w:type="dxa"/>
            <w:vAlign w:val="center"/>
          </w:tcPr>
          <w:p>
            <w:pPr>
              <w:jc w:val="center"/>
              <w:rPr>
                <w:rFonts w:ascii="黑体" w:hAnsi="黑体" w:eastAsia="黑体" w:cs="宋体"/>
                <w:kern w:val="0"/>
                <w:szCs w:val="21"/>
              </w:rPr>
            </w:pPr>
            <w:r>
              <w:rPr>
                <w:rFonts w:hint="eastAsia" w:ascii="黑体" w:hAnsi="黑体" w:eastAsia="黑体" w:cs="宋体"/>
                <w:kern w:val="0"/>
                <w:szCs w:val="21"/>
              </w:rPr>
              <w:t>教学</w:t>
            </w:r>
          </w:p>
          <w:p>
            <w:pPr>
              <w:jc w:val="center"/>
              <w:rPr>
                <w:rFonts w:ascii="黑体" w:hAnsi="黑体" w:eastAsia="黑体" w:cs="宋体"/>
                <w:kern w:val="0"/>
                <w:szCs w:val="21"/>
              </w:rPr>
            </w:pPr>
            <w:r>
              <w:rPr>
                <w:rFonts w:hint="eastAsia" w:ascii="黑体" w:hAnsi="黑体" w:eastAsia="黑体" w:cs="宋体"/>
                <w:kern w:val="0"/>
                <w:szCs w:val="21"/>
              </w:rPr>
              <w:t>工作</w:t>
            </w:r>
          </w:p>
          <w:p>
            <w:pPr>
              <w:jc w:val="center"/>
              <w:rPr>
                <w:rFonts w:ascii="黑体" w:hAnsi="黑体" w:eastAsia="黑体" w:cs="宋体"/>
                <w:kern w:val="0"/>
                <w:szCs w:val="21"/>
              </w:rPr>
            </w:pPr>
            <w:r>
              <w:rPr>
                <w:rFonts w:ascii="黑体" w:hAnsi="黑体" w:eastAsia="黑体" w:cs="宋体"/>
                <w:kern w:val="0"/>
                <w:szCs w:val="21"/>
              </w:rPr>
              <w:t>25</w:t>
            </w:r>
            <w:r>
              <w:rPr>
                <w:rFonts w:hint="eastAsia" w:ascii="黑体" w:hAnsi="黑体" w:eastAsia="黑体" w:cs="宋体"/>
                <w:kern w:val="0"/>
                <w:szCs w:val="21"/>
              </w:rPr>
              <w:t>分</w:t>
            </w:r>
          </w:p>
        </w:tc>
        <w:tc>
          <w:tcPr>
            <w:tcW w:w="886" w:type="dxa"/>
            <w:vAlign w:val="center"/>
          </w:tcPr>
          <w:p>
            <w:pPr>
              <w:jc w:val="center"/>
              <w:rPr>
                <w:rFonts w:ascii="黑体" w:hAnsi="黑体" w:eastAsia="黑体"/>
                <w:szCs w:val="21"/>
              </w:rPr>
            </w:pPr>
            <w:r>
              <w:rPr>
                <w:rFonts w:hint="eastAsia" w:ascii="黑体" w:hAnsi="黑体" w:eastAsia="黑体"/>
                <w:szCs w:val="21"/>
              </w:rPr>
              <w:t>科研与社会服务</w:t>
            </w:r>
          </w:p>
          <w:p>
            <w:pPr>
              <w:jc w:val="center"/>
              <w:rPr>
                <w:rFonts w:ascii="黑体" w:hAnsi="黑体" w:eastAsia="黑体"/>
                <w:szCs w:val="21"/>
              </w:rPr>
            </w:pPr>
            <w:r>
              <w:rPr>
                <w:rFonts w:hint="eastAsia" w:ascii="黑体" w:hAnsi="黑体" w:eastAsia="黑体"/>
                <w:szCs w:val="21"/>
              </w:rPr>
              <w:t>工作</w:t>
            </w:r>
          </w:p>
          <w:p>
            <w:pPr>
              <w:jc w:val="center"/>
              <w:rPr>
                <w:rFonts w:ascii="黑体" w:hAnsi="黑体" w:eastAsia="黑体"/>
                <w:szCs w:val="21"/>
              </w:rPr>
            </w:pPr>
            <w:r>
              <w:rPr>
                <w:rFonts w:ascii="黑体" w:hAnsi="黑体" w:eastAsia="黑体" w:cs="宋体"/>
                <w:kern w:val="0"/>
                <w:szCs w:val="21"/>
              </w:rPr>
              <w:t>7</w:t>
            </w:r>
            <w:r>
              <w:rPr>
                <w:rFonts w:hint="eastAsia" w:ascii="黑体" w:hAnsi="黑体" w:eastAsia="黑体" w:cs="宋体"/>
                <w:kern w:val="0"/>
                <w:szCs w:val="21"/>
              </w:rPr>
              <w:t>分</w:t>
            </w:r>
          </w:p>
        </w:tc>
        <w:tc>
          <w:tcPr>
            <w:tcW w:w="859" w:type="dxa"/>
            <w:vAlign w:val="center"/>
          </w:tcPr>
          <w:p>
            <w:pPr>
              <w:jc w:val="center"/>
              <w:rPr>
                <w:rFonts w:ascii="黑体" w:hAnsi="黑体" w:eastAsia="黑体"/>
                <w:szCs w:val="21"/>
              </w:rPr>
            </w:pPr>
            <w:r>
              <w:rPr>
                <w:rFonts w:hint="eastAsia" w:ascii="黑体" w:hAnsi="黑体" w:eastAsia="黑体"/>
                <w:szCs w:val="21"/>
              </w:rPr>
              <w:t>学生</w:t>
            </w:r>
          </w:p>
          <w:p>
            <w:pPr>
              <w:jc w:val="center"/>
              <w:rPr>
                <w:rFonts w:ascii="黑体" w:hAnsi="黑体" w:eastAsia="黑体"/>
                <w:szCs w:val="21"/>
              </w:rPr>
            </w:pPr>
            <w:r>
              <w:rPr>
                <w:rFonts w:hint="eastAsia" w:ascii="黑体" w:hAnsi="黑体" w:eastAsia="黑体"/>
                <w:szCs w:val="21"/>
              </w:rPr>
              <w:t>工作（育人工作）</w:t>
            </w:r>
          </w:p>
          <w:p>
            <w:pPr>
              <w:jc w:val="center"/>
              <w:rPr>
                <w:rFonts w:ascii="黑体" w:hAnsi="黑体" w:eastAsia="黑体"/>
                <w:szCs w:val="21"/>
              </w:rPr>
            </w:pPr>
            <w:r>
              <w:rPr>
                <w:rFonts w:ascii="黑体" w:hAnsi="黑体" w:eastAsia="黑体"/>
                <w:szCs w:val="21"/>
              </w:rPr>
              <w:t>15</w:t>
            </w:r>
            <w:r>
              <w:rPr>
                <w:rFonts w:hint="eastAsia" w:ascii="黑体" w:hAnsi="黑体" w:eastAsia="黑体"/>
                <w:szCs w:val="21"/>
              </w:rPr>
              <w:t>分</w:t>
            </w:r>
          </w:p>
        </w:tc>
        <w:tc>
          <w:tcPr>
            <w:tcW w:w="674" w:type="dxa"/>
            <w:vAlign w:val="center"/>
          </w:tcPr>
          <w:p>
            <w:pPr>
              <w:jc w:val="center"/>
              <w:rPr>
                <w:rFonts w:ascii="黑体" w:hAnsi="黑体" w:eastAsia="黑体"/>
                <w:szCs w:val="21"/>
              </w:rPr>
            </w:pPr>
            <w:r>
              <w:rPr>
                <w:rFonts w:hint="eastAsia" w:ascii="黑体" w:hAnsi="黑体" w:eastAsia="黑体"/>
                <w:szCs w:val="21"/>
              </w:rPr>
              <w:t>安全</w:t>
            </w:r>
          </w:p>
          <w:p>
            <w:pPr>
              <w:jc w:val="center"/>
              <w:rPr>
                <w:rFonts w:ascii="黑体" w:hAnsi="黑体" w:eastAsia="黑体"/>
                <w:szCs w:val="21"/>
              </w:rPr>
            </w:pPr>
            <w:r>
              <w:rPr>
                <w:rFonts w:hint="eastAsia" w:ascii="黑体" w:hAnsi="黑体" w:eastAsia="黑体"/>
                <w:szCs w:val="21"/>
              </w:rPr>
              <w:t>稳定</w:t>
            </w:r>
          </w:p>
          <w:p>
            <w:pPr>
              <w:jc w:val="center"/>
              <w:rPr>
                <w:rFonts w:ascii="黑体" w:hAnsi="黑体" w:eastAsia="黑体"/>
                <w:szCs w:val="21"/>
              </w:rPr>
            </w:pPr>
            <w:r>
              <w:rPr>
                <w:rFonts w:ascii="黑体" w:hAnsi="黑体" w:eastAsia="黑体"/>
                <w:szCs w:val="21"/>
              </w:rPr>
              <w:t>4</w:t>
            </w:r>
            <w:r>
              <w:rPr>
                <w:rFonts w:hint="eastAsia" w:ascii="黑体" w:hAnsi="黑体" w:eastAsia="黑体"/>
                <w:szCs w:val="21"/>
              </w:rPr>
              <w:t>分</w:t>
            </w:r>
          </w:p>
        </w:tc>
        <w:tc>
          <w:tcPr>
            <w:tcW w:w="713" w:type="dxa"/>
            <w:vAlign w:val="center"/>
          </w:tcPr>
          <w:p>
            <w:pPr>
              <w:jc w:val="center"/>
              <w:rPr>
                <w:rFonts w:ascii="黑体" w:hAnsi="黑体" w:eastAsia="黑体"/>
                <w:szCs w:val="21"/>
              </w:rPr>
            </w:pPr>
            <w:r>
              <w:rPr>
                <w:rFonts w:hint="eastAsia" w:ascii="黑体" w:hAnsi="黑体" w:eastAsia="黑体"/>
                <w:szCs w:val="21"/>
              </w:rPr>
              <w:t>经费</w:t>
            </w:r>
          </w:p>
          <w:p>
            <w:pPr>
              <w:jc w:val="center"/>
              <w:rPr>
                <w:rFonts w:ascii="黑体" w:hAnsi="黑体" w:eastAsia="黑体"/>
                <w:szCs w:val="21"/>
              </w:rPr>
            </w:pPr>
            <w:r>
              <w:rPr>
                <w:rFonts w:hint="eastAsia" w:ascii="黑体" w:hAnsi="黑体" w:eastAsia="黑体"/>
                <w:szCs w:val="21"/>
              </w:rPr>
              <w:t>管理</w:t>
            </w:r>
          </w:p>
          <w:p>
            <w:pPr>
              <w:jc w:val="center"/>
              <w:rPr>
                <w:rFonts w:ascii="黑体" w:hAnsi="黑体" w:eastAsia="黑体"/>
                <w:szCs w:val="21"/>
              </w:rPr>
            </w:pPr>
            <w:r>
              <w:rPr>
                <w:rFonts w:ascii="黑体" w:hAnsi="黑体" w:eastAsia="黑体"/>
                <w:szCs w:val="21"/>
              </w:rPr>
              <w:t>4</w:t>
            </w:r>
            <w:r>
              <w:rPr>
                <w:rFonts w:hint="eastAsia" w:ascii="黑体" w:hAnsi="黑体" w:eastAsia="黑体"/>
                <w:szCs w:val="21"/>
              </w:rPr>
              <w:t>分</w:t>
            </w:r>
          </w:p>
        </w:tc>
        <w:tc>
          <w:tcPr>
            <w:tcW w:w="806" w:type="dxa"/>
            <w:vAlign w:val="center"/>
          </w:tcPr>
          <w:p>
            <w:pPr>
              <w:jc w:val="center"/>
              <w:rPr>
                <w:rFonts w:ascii="黑体" w:hAnsi="黑体" w:eastAsia="黑体"/>
                <w:szCs w:val="21"/>
              </w:rPr>
            </w:pPr>
            <w:r>
              <w:rPr>
                <w:rFonts w:hint="eastAsia" w:ascii="黑体" w:hAnsi="黑体" w:eastAsia="黑体"/>
                <w:szCs w:val="21"/>
              </w:rPr>
              <w:t>信息化建设</w:t>
            </w:r>
          </w:p>
          <w:p>
            <w:pPr>
              <w:jc w:val="center"/>
              <w:rPr>
                <w:rFonts w:ascii="黑体" w:hAnsi="黑体" w:eastAsia="黑体"/>
                <w:szCs w:val="21"/>
              </w:rPr>
            </w:pPr>
            <w:r>
              <w:rPr>
                <w:rFonts w:ascii="黑体" w:hAnsi="黑体" w:eastAsia="黑体"/>
                <w:szCs w:val="21"/>
              </w:rPr>
              <w:t>2</w:t>
            </w:r>
            <w:r>
              <w:rPr>
                <w:rFonts w:hint="eastAsia" w:ascii="黑体" w:hAnsi="黑体" w:eastAsia="黑体"/>
                <w:szCs w:val="21"/>
              </w:rPr>
              <w:t>分</w:t>
            </w:r>
          </w:p>
        </w:tc>
        <w:tc>
          <w:tcPr>
            <w:tcW w:w="806" w:type="dxa"/>
            <w:vAlign w:val="center"/>
          </w:tcPr>
          <w:p>
            <w:pPr>
              <w:jc w:val="center"/>
              <w:rPr>
                <w:rFonts w:ascii="黑体" w:hAnsi="黑体" w:eastAsia="黑体"/>
                <w:szCs w:val="21"/>
              </w:rPr>
            </w:pPr>
            <w:r>
              <w:rPr>
                <w:rFonts w:hint="eastAsia" w:ascii="黑体" w:hAnsi="黑体" w:eastAsia="黑体"/>
                <w:szCs w:val="21"/>
              </w:rPr>
              <w:t>资产</w:t>
            </w:r>
          </w:p>
          <w:p>
            <w:pPr>
              <w:jc w:val="center"/>
              <w:rPr>
                <w:rFonts w:ascii="黑体" w:hAnsi="黑体" w:eastAsia="黑体"/>
                <w:szCs w:val="21"/>
              </w:rPr>
            </w:pPr>
            <w:r>
              <w:rPr>
                <w:rFonts w:hint="eastAsia" w:ascii="黑体" w:hAnsi="黑体" w:eastAsia="黑体"/>
                <w:szCs w:val="21"/>
              </w:rPr>
              <w:t>管理</w:t>
            </w:r>
          </w:p>
          <w:p>
            <w:pPr>
              <w:jc w:val="center"/>
              <w:rPr>
                <w:rFonts w:ascii="黑体" w:hAnsi="黑体" w:eastAsia="黑体"/>
                <w:szCs w:val="21"/>
              </w:rPr>
            </w:pPr>
            <w:r>
              <w:rPr>
                <w:rFonts w:ascii="黑体" w:hAnsi="黑体" w:eastAsia="黑体"/>
                <w:szCs w:val="21"/>
              </w:rPr>
              <w:t>3</w:t>
            </w:r>
            <w:r>
              <w:rPr>
                <w:rFonts w:hint="eastAsia" w:ascii="黑体" w:hAnsi="黑体" w:eastAsia="黑体"/>
                <w:szCs w:val="21"/>
              </w:rPr>
              <w:t>分</w:t>
            </w:r>
          </w:p>
        </w:tc>
        <w:tc>
          <w:tcPr>
            <w:tcW w:w="806" w:type="dxa"/>
            <w:vAlign w:val="center"/>
          </w:tcPr>
          <w:p>
            <w:pPr>
              <w:jc w:val="center"/>
              <w:rPr>
                <w:rFonts w:ascii="黑体" w:hAnsi="黑体" w:eastAsia="黑体"/>
                <w:szCs w:val="21"/>
              </w:rPr>
            </w:pPr>
            <w:r>
              <w:rPr>
                <w:rFonts w:hint="eastAsia" w:ascii="黑体" w:hAnsi="黑体" w:eastAsia="黑体"/>
                <w:szCs w:val="21"/>
              </w:rPr>
              <w:t>工会</w:t>
            </w:r>
          </w:p>
          <w:p>
            <w:pPr>
              <w:jc w:val="center"/>
              <w:rPr>
                <w:rFonts w:ascii="黑体" w:hAnsi="黑体" w:eastAsia="黑体"/>
                <w:szCs w:val="21"/>
              </w:rPr>
            </w:pPr>
            <w:r>
              <w:rPr>
                <w:rFonts w:hint="eastAsia" w:ascii="黑体" w:hAnsi="黑体" w:eastAsia="黑体"/>
                <w:szCs w:val="21"/>
              </w:rPr>
              <w:t>工作</w:t>
            </w:r>
          </w:p>
          <w:p>
            <w:pPr>
              <w:jc w:val="center"/>
              <w:rPr>
                <w:rFonts w:ascii="黑体" w:hAnsi="黑体" w:eastAsia="黑体"/>
                <w:szCs w:val="21"/>
              </w:rPr>
            </w:pPr>
            <w:r>
              <w:rPr>
                <w:rFonts w:ascii="黑体" w:hAnsi="黑体" w:eastAsia="黑体"/>
                <w:szCs w:val="21"/>
              </w:rPr>
              <w:t>2</w:t>
            </w:r>
            <w:r>
              <w:rPr>
                <w:rFonts w:hint="eastAsia" w:ascii="黑体" w:hAnsi="黑体" w:eastAsia="黑体"/>
                <w:szCs w:val="21"/>
              </w:rPr>
              <w:t>分</w:t>
            </w:r>
          </w:p>
        </w:tc>
        <w:tc>
          <w:tcPr>
            <w:tcW w:w="1069" w:type="dxa"/>
            <w:vAlign w:val="center"/>
          </w:tcPr>
          <w:p>
            <w:pPr>
              <w:jc w:val="center"/>
              <w:rPr>
                <w:rFonts w:ascii="黑体" w:hAnsi="黑体" w:eastAsia="黑体"/>
                <w:szCs w:val="21"/>
              </w:rPr>
            </w:pPr>
            <w:r>
              <w:rPr>
                <w:rFonts w:hint="eastAsia" w:ascii="黑体" w:hAnsi="黑体" w:eastAsia="黑体"/>
                <w:szCs w:val="21"/>
              </w:rPr>
              <w:t>合计</w:t>
            </w:r>
            <w:r>
              <w:rPr>
                <w:rFonts w:ascii="黑体" w:hAnsi="黑体" w:eastAsia="黑体"/>
                <w:szCs w:val="21"/>
              </w:rPr>
              <w:t>100</w:t>
            </w:r>
            <w:r>
              <w:rPr>
                <w:rFonts w:hint="eastAsia" w:ascii="黑体" w:hAnsi="黑体" w:eastAsia="黑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经济贸易系</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工商管理系</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会计系</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财务金融系</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电子信息工程系</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艺术设计系</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人文外语系</w:t>
            </w:r>
            <w:r>
              <w:rPr>
                <w:rFonts w:ascii="黑体" w:hAnsi="黑体" w:eastAsia="黑体" w:cs="宋体"/>
                <w:kern w:val="0"/>
                <w:szCs w:val="21"/>
              </w:rPr>
              <w:t xml:space="preserve">      </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体育教学部</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思政教学部</w:t>
            </w:r>
          </w:p>
        </w:tc>
        <w:tc>
          <w:tcPr>
            <w:tcW w:w="699" w:type="dxa"/>
            <w:vAlign w:val="center"/>
          </w:tcPr>
          <w:p>
            <w:pPr>
              <w:jc w:val="center"/>
              <w:rPr>
                <w:rFonts w:ascii="黑体" w:eastAsia="黑体"/>
              </w:rPr>
            </w:pPr>
          </w:p>
        </w:tc>
        <w:tc>
          <w:tcPr>
            <w:tcW w:w="701" w:type="dxa"/>
            <w:vAlign w:val="center"/>
          </w:tcPr>
          <w:p>
            <w:pPr>
              <w:jc w:val="center"/>
              <w:rPr>
                <w:rFonts w:ascii="黑体" w:eastAsia="黑体"/>
              </w:rPr>
            </w:pPr>
          </w:p>
        </w:tc>
        <w:tc>
          <w:tcPr>
            <w:tcW w:w="1278" w:type="dxa"/>
            <w:vAlign w:val="center"/>
          </w:tcPr>
          <w:p>
            <w:pPr>
              <w:jc w:val="center"/>
              <w:rPr>
                <w:rFonts w:ascii="黑体" w:eastAsia="黑体"/>
              </w:rPr>
            </w:pPr>
          </w:p>
        </w:tc>
        <w:tc>
          <w:tcPr>
            <w:tcW w:w="701" w:type="dxa"/>
            <w:vAlign w:val="center"/>
          </w:tcPr>
          <w:p>
            <w:pPr>
              <w:jc w:val="center"/>
              <w:rPr>
                <w:rFonts w:ascii="黑体" w:eastAsia="黑体"/>
              </w:rPr>
            </w:pPr>
          </w:p>
        </w:tc>
        <w:tc>
          <w:tcPr>
            <w:tcW w:w="1069" w:type="dxa"/>
            <w:vAlign w:val="center"/>
          </w:tcPr>
          <w:p>
            <w:pPr>
              <w:jc w:val="center"/>
              <w:rPr>
                <w:rFonts w:ascii="黑体" w:eastAsia="黑体"/>
              </w:rPr>
            </w:pPr>
          </w:p>
        </w:tc>
        <w:tc>
          <w:tcPr>
            <w:tcW w:w="796" w:type="dxa"/>
          </w:tcPr>
          <w:p>
            <w:pPr>
              <w:jc w:val="center"/>
              <w:rPr>
                <w:rFonts w:ascii="黑体" w:eastAsia="黑体"/>
              </w:rPr>
            </w:pPr>
          </w:p>
        </w:tc>
        <w:tc>
          <w:tcPr>
            <w:tcW w:w="886" w:type="dxa"/>
            <w:vAlign w:val="center"/>
          </w:tcPr>
          <w:p>
            <w:pPr>
              <w:jc w:val="center"/>
              <w:rPr>
                <w:rFonts w:ascii="黑体" w:eastAsia="黑体"/>
              </w:rPr>
            </w:pPr>
          </w:p>
        </w:tc>
        <w:tc>
          <w:tcPr>
            <w:tcW w:w="859" w:type="dxa"/>
            <w:vAlign w:val="center"/>
          </w:tcPr>
          <w:p>
            <w:pPr>
              <w:jc w:val="center"/>
              <w:rPr>
                <w:rFonts w:ascii="黑体" w:eastAsia="黑体"/>
              </w:rPr>
            </w:pPr>
          </w:p>
        </w:tc>
        <w:tc>
          <w:tcPr>
            <w:tcW w:w="674" w:type="dxa"/>
            <w:vAlign w:val="center"/>
          </w:tcPr>
          <w:p>
            <w:pPr>
              <w:jc w:val="center"/>
              <w:rPr>
                <w:rFonts w:ascii="黑体" w:eastAsia="黑体"/>
              </w:rPr>
            </w:pPr>
          </w:p>
        </w:tc>
        <w:tc>
          <w:tcPr>
            <w:tcW w:w="713" w:type="dxa"/>
            <w:vAlign w:val="center"/>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806" w:type="dxa"/>
          </w:tcPr>
          <w:p>
            <w:pPr>
              <w:jc w:val="center"/>
              <w:rPr>
                <w:rFonts w:ascii="黑体" w:eastAsia="黑体"/>
              </w:rPr>
            </w:pPr>
          </w:p>
        </w:tc>
        <w:tc>
          <w:tcPr>
            <w:tcW w:w="1069" w:type="dxa"/>
            <w:vAlign w:val="center"/>
          </w:tcPr>
          <w:p>
            <w:pPr>
              <w:jc w:val="center"/>
              <w:rPr>
                <w:rFonts w:ascii="黑体" w:eastAsia="黑体"/>
              </w:rPr>
            </w:pPr>
          </w:p>
        </w:tc>
      </w:tr>
    </w:tbl>
    <w:p/>
    <w:tbl>
      <w:tblPr>
        <w:tblStyle w:val="6"/>
        <w:tblW w:w="13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699"/>
        <w:gridCol w:w="701"/>
        <w:gridCol w:w="1278"/>
        <w:gridCol w:w="701"/>
        <w:gridCol w:w="1069"/>
        <w:gridCol w:w="796"/>
        <w:gridCol w:w="806"/>
        <w:gridCol w:w="939"/>
        <w:gridCol w:w="674"/>
        <w:gridCol w:w="713"/>
        <w:gridCol w:w="806"/>
        <w:gridCol w:w="806"/>
        <w:gridCol w:w="80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5" w:type="dxa"/>
            <w:vAlign w:val="center"/>
          </w:tcPr>
          <w:p>
            <w:pPr>
              <w:jc w:val="center"/>
              <w:rPr>
                <w:rFonts w:ascii="黑体" w:hAnsi="黑体" w:eastAsia="黑体" w:cs="宋体"/>
                <w:kern w:val="0"/>
                <w:szCs w:val="21"/>
              </w:rPr>
            </w:pPr>
            <w:r>
              <w:rPr>
                <w:rFonts w:hint="eastAsia" w:ascii="黑体" w:hAnsi="黑体" w:eastAsia="黑体" w:cs="宋体"/>
                <w:kern w:val="0"/>
                <w:szCs w:val="21"/>
              </w:rPr>
              <w:t>打分部门</w:t>
            </w:r>
          </w:p>
        </w:tc>
        <w:tc>
          <w:tcPr>
            <w:tcW w:w="699" w:type="dxa"/>
            <w:vAlign w:val="center"/>
          </w:tcPr>
          <w:p>
            <w:pPr>
              <w:jc w:val="center"/>
              <w:rPr>
                <w:rFonts w:ascii="宋体"/>
                <w:b/>
                <w:sz w:val="15"/>
                <w:szCs w:val="15"/>
              </w:rPr>
            </w:pPr>
            <w:r>
              <w:rPr>
                <w:rFonts w:hint="eastAsia" w:ascii="宋体"/>
                <w:b/>
                <w:sz w:val="15"/>
                <w:szCs w:val="15"/>
              </w:rPr>
              <w:t>组织人事处</w:t>
            </w:r>
          </w:p>
          <w:p>
            <w:pPr>
              <w:jc w:val="center"/>
              <w:rPr>
                <w:rFonts w:ascii="宋体"/>
                <w:b/>
                <w:sz w:val="15"/>
                <w:szCs w:val="15"/>
              </w:rPr>
            </w:pPr>
            <w:r>
              <w:rPr>
                <w:rFonts w:hint="eastAsia" w:ascii="宋体"/>
                <w:b/>
                <w:sz w:val="15"/>
                <w:szCs w:val="15"/>
              </w:rPr>
              <w:t>办公室</w:t>
            </w:r>
          </w:p>
          <w:p>
            <w:pPr>
              <w:jc w:val="center"/>
              <w:rPr>
                <w:rFonts w:ascii="黑体" w:eastAsia="黑体"/>
                <w:sz w:val="15"/>
                <w:szCs w:val="15"/>
              </w:rPr>
            </w:pPr>
            <w:r>
              <w:rPr>
                <w:rFonts w:hint="eastAsia" w:ascii="宋体"/>
                <w:b/>
                <w:sz w:val="15"/>
                <w:szCs w:val="15"/>
              </w:rPr>
              <w:t>团委</w:t>
            </w:r>
          </w:p>
        </w:tc>
        <w:tc>
          <w:tcPr>
            <w:tcW w:w="701" w:type="dxa"/>
            <w:vAlign w:val="center"/>
          </w:tcPr>
          <w:p>
            <w:pPr>
              <w:jc w:val="center"/>
              <w:rPr>
                <w:rFonts w:ascii="黑体" w:eastAsia="黑体"/>
                <w:sz w:val="15"/>
                <w:szCs w:val="15"/>
              </w:rPr>
            </w:pPr>
            <w:r>
              <w:rPr>
                <w:rFonts w:hint="eastAsia" w:ascii="宋体"/>
                <w:b/>
                <w:sz w:val="15"/>
                <w:szCs w:val="15"/>
              </w:rPr>
              <w:t>纪委办公室（监察审计处）</w:t>
            </w:r>
          </w:p>
        </w:tc>
        <w:tc>
          <w:tcPr>
            <w:tcW w:w="1278" w:type="dxa"/>
            <w:vAlign w:val="center"/>
          </w:tcPr>
          <w:p>
            <w:pPr>
              <w:jc w:val="center"/>
              <w:rPr>
                <w:rFonts w:ascii="宋体"/>
                <w:b/>
                <w:sz w:val="15"/>
                <w:szCs w:val="15"/>
              </w:rPr>
            </w:pPr>
            <w:r>
              <w:rPr>
                <w:rFonts w:hint="eastAsia" w:ascii="宋体"/>
                <w:b/>
                <w:sz w:val="15"/>
                <w:szCs w:val="15"/>
              </w:rPr>
              <w:t>宣传统战部</w:t>
            </w:r>
          </w:p>
          <w:p>
            <w:pPr>
              <w:jc w:val="center"/>
              <w:rPr>
                <w:rFonts w:ascii="黑体" w:eastAsia="黑体"/>
                <w:sz w:val="15"/>
                <w:szCs w:val="15"/>
              </w:rPr>
            </w:pPr>
            <w:r>
              <w:rPr>
                <w:rFonts w:hint="eastAsia" w:ascii="宋体"/>
                <w:b/>
                <w:sz w:val="15"/>
                <w:szCs w:val="15"/>
              </w:rPr>
              <w:t>图书馆</w:t>
            </w:r>
          </w:p>
        </w:tc>
        <w:tc>
          <w:tcPr>
            <w:tcW w:w="701" w:type="dxa"/>
            <w:vAlign w:val="center"/>
          </w:tcPr>
          <w:p>
            <w:pPr>
              <w:jc w:val="center"/>
              <w:rPr>
                <w:rFonts w:ascii="黑体" w:eastAsia="黑体"/>
                <w:sz w:val="15"/>
                <w:szCs w:val="15"/>
              </w:rPr>
            </w:pPr>
            <w:r>
              <w:rPr>
                <w:rFonts w:hint="eastAsia" w:ascii="宋体"/>
                <w:b/>
                <w:sz w:val="15"/>
                <w:szCs w:val="15"/>
              </w:rPr>
              <w:t>办公室</w:t>
            </w:r>
          </w:p>
        </w:tc>
        <w:tc>
          <w:tcPr>
            <w:tcW w:w="1069" w:type="dxa"/>
            <w:vAlign w:val="center"/>
          </w:tcPr>
          <w:p>
            <w:pPr>
              <w:jc w:val="center"/>
              <w:rPr>
                <w:rFonts w:ascii="黑体" w:eastAsia="黑体"/>
                <w:sz w:val="15"/>
                <w:szCs w:val="15"/>
              </w:rPr>
            </w:pPr>
            <w:r>
              <w:rPr>
                <w:rFonts w:hint="eastAsia" w:ascii="宋体"/>
                <w:b/>
                <w:sz w:val="15"/>
                <w:szCs w:val="15"/>
              </w:rPr>
              <w:t>组织人事处</w:t>
            </w:r>
          </w:p>
        </w:tc>
        <w:tc>
          <w:tcPr>
            <w:tcW w:w="796" w:type="dxa"/>
            <w:vAlign w:val="center"/>
          </w:tcPr>
          <w:p>
            <w:pPr>
              <w:jc w:val="center"/>
              <w:rPr>
                <w:rFonts w:ascii="宋体"/>
                <w:b/>
                <w:sz w:val="15"/>
                <w:szCs w:val="15"/>
              </w:rPr>
            </w:pPr>
            <w:r>
              <w:rPr>
                <w:rFonts w:hint="eastAsia" w:ascii="宋体"/>
                <w:b/>
                <w:sz w:val="15"/>
                <w:szCs w:val="15"/>
              </w:rPr>
              <w:t>教务处</w:t>
            </w:r>
          </w:p>
          <w:p>
            <w:pPr>
              <w:rPr>
                <w:rFonts w:ascii="宋体"/>
                <w:b/>
                <w:sz w:val="15"/>
                <w:szCs w:val="15"/>
              </w:rPr>
            </w:pPr>
            <w:r>
              <w:rPr>
                <w:rFonts w:hint="eastAsia" w:ascii="宋体"/>
                <w:b/>
                <w:sz w:val="15"/>
                <w:szCs w:val="15"/>
              </w:rPr>
              <w:t>督导室</w:t>
            </w:r>
          </w:p>
          <w:p>
            <w:pPr>
              <w:rPr>
                <w:rFonts w:ascii="黑体" w:eastAsia="黑体"/>
                <w:sz w:val="15"/>
                <w:szCs w:val="15"/>
              </w:rPr>
            </w:pPr>
            <w:r>
              <w:rPr>
                <w:rFonts w:hint="eastAsia" w:ascii="宋体"/>
                <w:b/>
                <w:sz w:val="15"/>
                <w:szCs w:val="15"/>
              </w:rPr>
              <w:t>实验实训中心（校企合作处）</w:t>
            </w:r>
          </w:p>
        </w:tc>
        <w:tc>
          <w:tcPr>
            <w:tcW w:w="806" w:type="dxa"/>
            <w:vAlign w:val="center"/>
          </w:tcPr>
          <w:p>
            <w:pPr>
              <w:jc w:val="center"/>
              <w:rPr>
                <w:rFonts w:ascii="宋体"/>
                <w:b/>
                <w:sz w:val="15"/>
                <w:szCs w:val="15"/>
              </w:rPr>
            </w:pPr>
            <w:r>
              <w:rPr>
                <w:rFonts w:hint="eastAsia" w:ascii="宋体"/>
                <w:b/>
                <w:sz w:val="15"/>
                <w:szCs w:val="15"/>
              </w:rPr>
              <w:t>科研处</w:t>
            </w:r>
          </w:p>
          <w:p>
            <w:pPr>
              <w:jc w:val="center"/>
              <w:rPr>
                <w:rFonts w:ascii="黑体" w:eastAsia="黑体"/>
                <w:sz w:val="15"/>
                <w:szCs w:val="15"/>
              </w:rPr>
            </w:pPr>
            <w:r>
              <w:rPr>
                <w:rFonts w:hint="eastAsia" w:ascii="宋体"/>
                <w:b/>
                <w:sz w:val="15"/>
                <w:szCs w:val="15"/>
              </w:rPr>
              <w:t>继续教育学院</w:t>
            </w:r>
          </w:p>
        </w:tc>
        <w:tc>
          <w:tcPr>
            <w:tcW w:w="939" w:type="dxa"/>
            <w:vAlign w:val="center"/>
          </w:tcPr>
          <w:p>
            <w:pPr>
              <w:jc w:val="center"/>
              <w:rPr>
                <w:rFonts w:ascii="黑体" w:eastAsia="黑体"/>
                <w:sz w:val="15"/>
                <w:szCs w:val="15"/>
              </w:rPr>
            </w:pPr>
            <w:r>
              <w:rPr>
                <w:rFonts w:hint="eastAsia" w:ascii="宋体"/>
                <w:b/>
                <w:sz w:val="15"/>
                <w:szCs w:val="15"/>
              </w:rPr>
              <w:t>学生工作处、招生就业处、团委</w:t>
            </w:r>
          </w:p>
        </w:tc>
        <w:tc>
          <w:tcPr>
            <w:tcW w:w="674" w:type="dxa"/>
            <w:vAlign w:val="center"/>
          </w:tcPr>
          <w:p>
            <w:pPr>
              <w:jc w:val="center"/>
              <w:rPr>
                <w:rFonts w:ascii="宋体"/>
                <w:b/>
                <w:sz w:val="15"/>
                <w:szCs w:val="15"/>
              </w:rPr>
            </w:pPr>
            <w:r>
              <w:rPr>
                <w:rFonts w:hint="eastAsia" w:ascii="宋体"/>
                <w:b/>
                <w:sz w:val="15"/>
                <w:szCs w:val="15"/>
              </w:rPr>
              <w:t>保卫处</w:t>
            </w:r>
          </w:p>
          <w:p>
            <w:pPr>
              <w:jc w:val="center"/>
              <w:rPr>
                <w:rFonts w:ascii="黑体" w:eastAsia="黑体"/>
                <w:sz w:val="15"/>
                <w:szCs w:val="15"/>
              </w:rPr>
            </w:pPr>
            <w:r>
              <w:rPr>
                <w:rFonts w:hint="eastAsia" w:ascii="宋体"/>
                <w:b/>
                <w:sz w:val="15"/>
                <w:szCs w:val="15"/>
              </w:rPr>
              <w:t>、校医院</w:t>
            </w:r>
          </w:p>
        </w:tc>
        <w:tc>
          <w:tcPr>
            <w:tcW w:w="713" w:type="dxa"/>
            <w:vAlign w:val="center"/>
          </w:tcPr>
          <w:p>
            <w:pPr>
              <w:jc w:val="center"/>
              <w:rPr>
                <w:rFonts w:ascii="黑体" w:eastAsia="黑体"/>
                <w:sz w:val="15"/>
                <w:szCs w:val="15"/>
              </w:rPr>
            </w:pPr>
            <w:r>
              <w:rPr>
                <w:rFonts w:hint="eastAsia" w:ascii="宋体"/>
                <w:b/>
                <w:sz w:val="15"/>
                <w:szCs w:val="15"/>
              </w:rPr>
              <w:t>财务处</w:t>
            </w:r>
          </w:p>
        </w:tc>
        <w:tc>
          <w:tcPr>
            <w:tcW w:w="806" w:type="dxa"/>
            <w:vAlign w:val="center"/>
          </w:tcPr>
          <w:p>
            <w:pPr>
              <w:jc w:val="center"/>
              <w:rPr>
                <w:rFonts w:ascii="宋体"/>
                <w:b/>
                <w:sz w:val="15"/>
                <w:szCs w:val="15"/>
              </w:rPr>
            </w:pPr>
            <w:r>
              <w:rPr>
                <w:rFonts w:hint="eastAsia" w:ascii="宋体"/>
                <w:b/>
                <w:sz w:val="15"/>
                <w:szCs w:val="15"/>
              </w:rPr>
              <w:t>信息管理中心</w:t>
            </w:r>
          </w:p>
        </w:tc>
        <w:tc>
          <w:tcPr>
            <w:tcW w:w="806" w:type="dxa"/>
            <w:vAlign w:val="center"/>
          </w:tcPr>
          <w:p>
            <w:pPr>
              <w:jc w:val="center"/>
              <w:rPr>
                <w:rFonts w:ascii="黑体" w:eastAsia="黑体"/>
                <w:sz w:val="15"/>
                <w:szCs w:val="15"/>
              </w:rPr>
            </w:pPr>
            <w:r>
              <w:rPr>
                <w:rFonts w:hint="eastAsia" w:ascii="宋体"/>
                <w:b/>
                <w:sz w:val="15"/>
                <w:szCs w:val="15"/>
              </w:rPr>
              <w:t>后勤管理处、国有资产管理办公室</w:t>
            </w:r>
          </w:p>
        </w:tc>
        <w:tc>
          <w:tcPr>
            <w:tcW w:w="806" w:type="dxa"/>
            <w:vAlign w:val="center"/>
          </w:tcPr>
          <w:p>
            <w:pPr>
              <w:jc w:val="center"/>
              <w:rPr>
                <w:rFonts w:ascii="黑体" w:eastAsia="黑体"/>
                <w:sz w:val="15"/>
                <w:szCs w:val="15"/>
              </w:rPr>
            </w:pPr>
            <w:r>
              <w:rPr>
                <w:rFonts w:hint="eastAsia" w:ascii="宋体"/>
                <w:b/>
                <w:sz w:val="15"/>
                <w:szCs w:val="15"/>
              </w:rPr>
              <w:t>工会</w:t>
            </w:r>
          </w:p>
        </w:tc>
        <w:tc>
          <w:tcPr>
            <w:tcW w:w="1069" w:type="dxa"/>
            <w:vAlign w:val="center"/>
          </w:tcPr>
          <w:p>
            <w:pPr>
              <w:jc w:val="center"/>
              <w:rPr>
                <w:rFonts w:ascii="黑体" w:eastAsia="黑体"/>
              </w:rPr>
            </w:pPr>
          </w:p>
        </w:tc>
      </w:tr>
    </w:tbl>
    <w:p>
      <w:pPr>
        <w:rPr>
          <w:rFonts w:ascii="黑体" w:hAnsi="黑体" w:eastAsia="黑体" w:cs="Tahoma"/>
          <w:color w:val="000000"/>
          <w:kern w:val="0"/>
          <w:sz w:val="28"/>
          <w:szCs w:val="28"/>
        </w:rPr>
      </w:pPr>
      <w:r>
        <w:rPr>
          <w:rFonts w:hint="eastAsia" w:ascii="宋体"/>
          <w:b/>
          <w:sz w:val="18"/>
          <w:szCs w:val="18"/>
        </w:rPr>
        <w:t>注：</w:t>
      </w:r>
      <w:r>
        <w:rPr>
          <w:rFonts w:ascii="宋体"/>
          <w:b/>
          <w:sz w:val="18"/>
          <w:szCs w:val="18"/>
        </w:rPr>
        <w:t>1</w:t>
      </w:r>
      <w:r>
        <w:rPr>
          <w:rFonts w:hint="eastAsia" w:ascii="宋体"/>
          <w:b/>
          <w:sz w:val="18"/>
          <w:szCs w:val="18"/>
        </w:rPr>
        <w:t>、请各打分部门根据对应栏目的测评指标进行考核打分。每个栏目最高可打满分，但不得打零分、全部相同或不打分。</w:t>
      </w:r>
      <w:r>
        <w:rPr>
          <w:sz w:val="18"/>
          <w:szCs w:val="18"/>
        </w:rPr>
        <w:t xml:space="preserve">  </w:t>
      </w:r>
      <w:r>
        <w:rPr>
          <w:rFonts w:ascii="宋体"/>
          <w:b/>
          <w:sz w:val="18"/>
          <w:szCs w:val="18"/>
        </w:rPr>
        <w:t>2</w:t>
      </w:r>
      <w:r>
        <w:rPr>
          <w:rFonts w:hint="eastAsia" w:ascii="宋体"/>
          <w:b/>
          <w:sz w:val="18"/>
          <w:szCs w:val="18"/>
        </w:rPr>
        <w:t>、请于</w:t>
      </w:r>
      <w:r>
        <w:rPr>
          <w:rFonts w:ascii="宋体"/>
          <w:b/>
          <w:sz w:val="18"/>
          <w:szCs w:val="18"/>
        </w:rPr>
        <w:t xml:space="preserve">  </w:t>
      </w:r>
      <w:r>
        <w:rPr>
          <w:rFonts w:hint="eastAsia" w:ascii="宋体"/>
          <w:b/>
          <w:sz w:val="18"/>
          <w:szCs w:val="18"/>
        </w:rPr>
        <w:t>月</w:t>
      </w:r>
      <w:r>
        <w:rPr>
          <w:rFonts w:ascii="宋体"/>
          <w:b/>
          <w:sz w:val="18"/>
          <w:szCs w:val="18"/>
        </w:rPr>
        <w:t xml:space="preserve">  </w:t>
      </w:r>
      <w:r>
        <w:rPr>
          <w:rFonts w:hint="eastAsia" w:ascii="宋体"/>
          <w:b/>
          <w:sz w:val="18"/>
          <w:szCs w:val="18"/>
        </w:rPr>
        <w:t>号下午</w:t>
      </w:r>
      <w:r>
        <w:rPr>
          <w:rFonts w:ascii="宋体"/>
          <w:b/>
          <w:sz w:val="18"/>
          <w:szCs w:val="18"/>
        </w:rPr>
        <w:t xml:space="preserve">   </w:t>
      </w:r>
      <w:r>
        <w:rPr>
          <w:rFonts w:hint="eastAsia" w:ascii="宋体"/>
          <w:b/>
          <w:sz w:val="18"/>
          <w:szCs w:val="18"/>
        </w:rPr>
        <w:t>点之前投到弘商楼投票箱内</w:t>
      </w:r>
    </w:p>
    <w:p>
      <w:pPr>
        <w:widowControl/>
        <w:shd w:val="clear" w:color="auto" w:fill="FFFFFF"/>
        <w:spacing w:line="270" w:lineRule="atLeast"/>
        <w:ind w:firstLine="11130" w:firstLineChars="5300"/>
        <w:jc w:val="left"/>
        <w:rPr>
          <w:rFonts w:ascii="宋体"/>
          <w:b/>
          <w:sz w:val="18"/>
          <w:szCs w:val="18"/>
        </w:rPr>
      </w:pPr>
      <w:r>
        <w:rPr>
          <w:rFonts w:hint="eastAsia" w:ascii="黑体" w:hAnsi="黑体" w:eastAsia="黑体" w:cs="Tahoma"/>
          <w:color w:val="000000"/>
          <w:kern w:val="0"/>
          <w:szCs w:val="21"/>
        </w:rPr>
        <w:t>测评单位：</w:t>
      </w:r>
      <w:r>
        <w:rPr>
          <w:rFonts w:ascii="黑体" w:hAnsi="黑体" w:eastAsia="黑体" w:cs="Tahoma"/>
          <w:color w:val="000000"/>
          <w:kern w:val="0"/>
          <w:szCs w:val="21"/>
          <w:u w:val="single"/>
        </w:rPr>
        <w:t xml:space="preserve">           </w:t>
      </w:r>
      <w:r>
        <w:rPr>
          <w:rFonts w:hint="eastAsia" w:ascii="黑体" w:hAnsi="黑体" w:eastAsia="黑体" w:cs="Tahoma"/>
          <w:color w:val="000000"/>
          <w:kern w:val="0"/>
          <w:szCs w:val="21"/>
          <w:u w:val="single"/>
        </w:rPr>
        <w:t>（盖章）</w:t>
      </w:r>
    </w:p>
    <w:p>
      <w:pPr>
        <w:widowControl/>
        <w:shd w:val="clear" w:color="auto" w:fill="FFFFFF"/>
        <w:spacing w:line="270" w:lineRule="atLeast"/>
        <w:jc w:val="left"/>
        <w:rPr>
          <w:rFonts w:ascii="宋体"/>
          <w:b/>
          <w:sz w:val="18"/>
          <w:szCs w:val="18"/>
        </w:rPr>
      </w:pPr>
    </w:p>
    <w:p>
      <w:pPr>
        <w:ind w:firstLine="420" w:firstLineChars="200"/>
      </w:pPr>
    </w:p>
    <w:p>
      <w:pPr>
        <w:widowControl/>
        <w:shd w:val="clear" w:color="auto" w:fill="FFFFFF"/>
        <w:spacing w:line="270" w:lineRule="atLeast"/>
        <w:jc w:val="center"/>
        <w:rPr>
          <w:rFonts w:ascii="黑体" w:eastAsia="黑体"/>
          <w:b/>
          <w:sz w:val="28"/>
          <w:szCs w:val="28"/>
        </w:rPr>
      </w:pPr>
      <w:r>
        <w:rPr>
          <w:rFonts w:hint="eastAsia" w:ascii="黑体" w:eastAsia="黑体"/>
          <w:b/>
          <w:sz w:val="28"/>
          <w:szCs w:val="28"/>
        </w:rPr>
        <w:t>系部对行政部门测评打分表（表四）</w:t>
      </w:r>
    </w:p>
    <w:tbl>
      <w:tblPr>
        <w:tblStyle w:val="6"/>
        <w:tblW w:w="13319" w:type="dxa"/>
        <w:jc w:val="center"/>
        <w:tblInd w:w="-1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377"/>
        <w:gridCol w:w="1418"/>
        <w:gridCol w:w="1417"/>
        <w:gridCol w:w="1276"/>
        <w:gridCol w:w="1417"/>
        <w:gridCol w:w="206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tcBorders>
              <w:tl2br w:val="single" w:color="auto" w:sz="4" w:space="0"/>
            </w:tcBorders>
            <w:vAlign w:val="center"/>
          </w:tcPr>
          <w:p>
            <w:pPr>
              <w:jc w:val="right"/>
              <w:rPr>
                <w:rFonts w:ascii="黑体" w:hAnsi="黑体" w:eastAsia="黑体" w:cs="宋体"/>
                <w:kern w:val="0"/>
                <w:szCs w:val="21"/>
              </w:rPr>
            </w:pPr>
            <w:r>
              <w:rPr>
                <w:rFonts w:ascii="黑体" w:hAnsi="黑体" w:eastAsia="黑体" w:cs="宋体"/>
                <w:kern w:val="0"/>
                <w:szCs w:val="21"/>
              </w:rPr>
              <w:t xml:space="preserve">  </w:t>
            </w:r>
            <w:r>
              <w:rPr>
                <w:rFonts w:hint="eastAsia" w:ascii="黑体" w:hAnsi="黑体" w:eastAsia="黑体" w:cs="宋体"/>
                <w:kern w:val="0"/>
                <w:szCs w:val="21"/>
              </w:rPr>
              <w:t>考核内容</w:t>
            </w:r>
          </w:p>
          <w:p>
            <w:pPr>
              <w:jc w:val="center"/>
              <w:rPr>
                <w:rFonts w:ascii="黑体" w:hAnsi="黑体" w:eastAsia="黑体" w:cs="宋体"/>
                <w:kern w:val="0"/>
                <w:szCs w:val="21"/>
              </w:rPr>
            </w:pPr>
          </w:p>
          <w:p>
            <w:pPr>
              <w:jc w:val="left"/>
              <w:rPr>
                <w:rFonts w:ascii="宋体"/>
                <w:sz w:val="24"/>
              </w:rPr>
            </w:pPr>
            <w:r>
              <w:rPr>
                <w:rFonts w:hint="eastAsia" w:ascii="黑体" w:hAnsi="黑体" w:eastAsia="黑体" w:cs="宋体"/>
                <w:kern w:val="0"/>
                <w:szCs w:val="21"/>
              </w:rPr>
              <w:t>被测评对象</w:t>
            </w:r>
          </w:p>
        </w:tc>
        <w:tc>
          <w:tcPr>
            <w:tcW w:w="1377" w:type="dxa"/>
            <w:vAlign w:val="center"/>
          </w:tcPr>
          <w:p>
            <w:pPr>
              <w:jc w:val="center"/>
              <w:rPr>
                <w:rFonts w:ascii="黑体" w:hAnsi="黑体" w:eastAsia="黑体"/>
                <w:szCs w:val="21"/>
              </w:rPr>
            </w:pPr>
            <w:r>
              <w:rPr>
                <w:rFonts w:hint="eastAsia" w:ascii="黑体" w:hAnsi="黑体" w:eastAsia="黑体"/>
                <w:szCs w:val="21"/>
              </w:rPr>
              <w:t>党建和思想政治工作</w:t>
            </w:r>
          </w:p>
          <w:p>
            <w:pPr>
              <w:jc w:val="center"/>
              <w:rPr>
                <w:rFonts w:ascii="黑体" w:hAnsi="黑体" w:eastAsia="黑体"/>
                <w:szCs w:val="21"/>
              </w:rPr>
            </w:pPr>
            <w:r>
              <w:rPr>
                <w:rFonts w:ascii="黑体" w:hAnsi="黑体" w:eastAsia="黑体"/>
                <w:szCs w:val="21"/>
              </w:rPr>
              <w:t>20</w:t>
            </w:r>
            <w:r>
              <w:rPr>
                <w:rFonts w:hint="eastAsia" w:ascii="黑体" w:hAnsi="黑体" w:eastAsia="黑体"/>
                <w:szCs w:val="21"/>
              </w:rPr>
              <w:t>分</w:t>
            </w:r>
          </w:p>
        </w:tc>
        <w:tc>
          <w:tcPr>
            <w:tcW w:w="1418" w:type="dxa"/>
            <w:vAlign w:val="center"/>
          </w:tcPr>
          <w:p>
            <w:pPr>
              <w:jc w:val="center"/>
              <w:rPr>
                <w:rFonts w:ascii="黑体" w:hAnsi="黑体" w:eastAsia="黑体"/>
                <w:szCs w:val="21"/>
              </w:rPr>
            </w:pPr>
            <w:r>
              <w:rPr>
                <w:rFonts w:hint="eastAsia" w:ascii="黑体" w:hAnsi="黑体" w:eastAsia="黑体"/>
                <w:szCs w:val="21"/>
              </w:rPr>
              <w:t>年度任务执行情况</w:t>
            </w:r>
          </w:p>
          <w:p>
            <w:pPr>
              <w:jc w:val="center"/>
              <w:rPr>
                <w:rFonts w:ascii="黑体" w:hAnsi="黑体" w:eastAsia="黑体"/>
                <w:szCs w:val="21"/>
              </w:rPr>
            </w:pPr>
            <w:r>
              <w:rPr>
                <w:rFonts w:ascii="黑体" w:hAnsi="黑体" w:eastAsia="黑体"/>
                <w:szCs w:val="21"/>
              </w:rPr>
              <w:t>20</w:t>
            </w:r>
            <w:r>
              <w:rPr>
                <w:rFonts w:hint="eastAsia" w:ascii="黑体" w:hAnsi="黑体" w:eastAsia="黑体"/>
                <w:szCs w:val="21"/>
              </w:rPr>
              <w:t>分</w:t>
            </w:r>
          </w:p>
        </w:tc>
        <w:tc>
          <w:tcPr>
            <w:tcW w:w="1417" w:type="dxa"/>
            <w:vAlign w:val="center"/>
          </w:tcPr>
          <w:p>
            <w:pPr>
              <w:jc w:val="center"/>
              <w:rPr>
                <w:rFonts w:ascii="黑体" w:hAnsi="黑体" w:eastAsia="黑体" w:cs="宋体"/>
                <w:kern w:val="0"/>
                <w:szCs w:val="21"/>
              </w:rPr>
            </w:pPr>
            <w:r>
              <w:rPr>
                <w:rFonts w:hint="eastAsia" w:ascii="黑体" w:hAnsi="黑体" w:eastAsia="黑体" w:cs="宋体"/>
                <w:kern w:val="0"/>
                <w:szCs w:val="21"/>
              </w:rPr>
              <w:t>履行部门</w:t>
            </w:r>
          </w:p>
          <w:p>
            <w:pPr>
              <w:jc w:val="center"/>
              <w:rPr>
                <w:rFonts w:ascii="黑体" w:hAnsi="黑体" w:eastAsia="黑体" w:cs="宋体"/>
                <w:kern w:val="0"/>
                <w:szCs w:val="21"/>
              </w:rPr>
            </w:pPr>
            <w:r>
              <w:rPr>
                <w:rFonts w:hint="eastAsia" w:ascii="黑体" w:hAnsi="黑体" w:eastAsia="黑体" w:cs="宋体"/>
                <w:kern w:val="0"/>
                <w:szCs w:val="21"/>
              </w:rPr>
              <w:t>工作职责</w:t>
            </w:r>
          </w:p>
          <w:p>
            <w:pPr>
              <w:jc w:val="center"/>
              <w:rPr>
                <w:rFonts w:ascii="黑体" w:hAnsi="黑体" w:eastAsia="黑体"/>
                <w:szCs w:val="21"/>
              </w:rPr>
            </w:pPr>
            <w:r>
              <w:rPr>
                <w:rFonts w:ascii="黑体" w:hAnsi="黑体" w:eastAsia="黑体" w:cs="宋体"/>
                <w:kern w:val="0"/>
                <w:szCs w:val="21"/>
              </w:rPr>
              <w:t>20</w:t>
            </w:r>
            <w:r>
              <w:rPr>
                <w:rFonts w:hint="eastAsia" w:ascii="黑体" w:hAnsi="黑体" w:eastAsia="黑体" w:cs="宋体"/>
                <w:kern w:val="0"/>
                <w:szCs w:val="21"/>
              </w:rPr>
              <w:t>分</w:t>
            </w:r>
          </w:p>
        </w:tc>
        <w:tc>
          <w:tcPr>
            <w:tcW w:w="1276" w:type="dxa"/>
            <w:vAlign w:val="center"/>
          </w:tcPr>
          <w:p>
            <w:pPr>
              <w:jc w:val="center"/>
              <w:rPr>
                <w:rFonts w:ascii="黑体" w:hAnsi="黑体" w:eastAsia="黑体"/>
                <w:szCs w:val="21"/>
              </w:rPr>
            </w:pPr>
            <w:r>
              <w:rPr>
                <w:rFonts w:hint="eastAsia" w:ascii="黑体" w:hAnsi="黑体" w:eastAsia="黑体"/>
                <w:szCs w:val="21"/>
              </w:rPr>
              <w:t>工作效能、</w:t>
            </w:r>
          </w:p>
          <w:p>
            <w:pPr>
              <w:jc w:val="center"/>
              <w:rPr>
                <w:rFonts w:ascii="黑体" w:hAnsi="黑体" w:eastAsia="黑体"/>
                <w:szCs w:val="21"/>
              </w:rPr>
            </w:pPr>
            <w:r>
              <w:rPr>
                <w:rFonts w:hint="eastAsia" w:ascii="黑体" w:hAnsi="黑体" w:eastAsia="黑体"/>
                <w:szCs w:val="21"/>
              </w:rPr>
              <w:t>工作创新</w:t>
            </w:r>
          </w:p>
          <w:p>
            <w:pPr>
              <w:jc w:val="center"/>
              <w:rPr>
                <w:rFonts w:ascii="黑体" w:hAnsi="黑体" w:eastAsia="黑体"/>
                <w:szCs w:val="21"/>
              </w:rPr>
            </w:pPr>
            <w:r>
              <w:rPr>
                <w:rFonts w:ascii="黑体" w:hAnsi="黑体" w:eastAsia="黑体"/>
                <w:szCs w:val="21"/>
              </w:rPr>
              <w:t>10</w:t>
            </w:r>
            <w:r>
              <w:rPr>
                <w:rFonts w:hint="eastAsia" w:ascii="黑体" w:hAnsi="黑体" w:eastAsia="黑体"/>
                <w:szCs w:val="21"/>
              </w:rPr>
              <w:t>分</w:t>
            </w:r>
          </w:p>
        </w:tc>
        <w:tc>
          <w:tcPr>
            <w:tcW w:w="1417" w:type="dxa"/>
            <w:vAlign w:val="center"/>
          </w:tcPr>
          <w:p>
            <w:pPr>
              <w:jc w:val="center"/>
              <w:rPr>
                <w:rFonts w:ascii="黑体" w:hAnsi="黑体" w:eastAsia="黑体" w:cs="宋体"/>
                <w:kern w:val="0"/>
                <w:szCs w:val="21"/>
              </w:rPr>
            </w:pPr>
            <w:r>
              <w:rPr>
                <w:rFonts w:hint="eastAsia" w:ascii="黑体" w:hAnsi="黑体" w:eastAsia="黑体" w:cs="宋体"/>
                <w:kern w:val="0"/>
                <w:szCs w:val="21"/>
              </w:rPr>
              <w:t>服务意识、</w:t>
            </w:r>
          </w:p>
          <w:p>
            <w:pPr>
              <w:jc w:val="center"/>
              <w:rPr>
                <w:rFonts w:ascii="黑体" w:hAnsi="黑体" w:eastAsia="黑体" w:cs="宋体"/>
                <w:kern w:val="0"/>
                <w:szCs w:val="21"/>
              </w:rPr>
            </w:pPr>
            <w:r>
              <w:rPr>
                <w:rFonts w:hint="eastAsia" w:ascii="黑体" w:hAnsi="黑体" w:eastAsia="黑体" w:cs="宋体"/>
                <w:kern w:val="0"/>
                <w:szCs w:val="21"/>
              </w:rPr>
              <w:t>服务水平</w:t>
            </w:r>
          </w:p>
          <w:p>
            <w:pPr>
              <w:jc w:val="center"/>
              <w:rPr>
                <w:rFonts w:ascii="黑体" w:hAnsi="黑体" w:eastAsia="黑体"/>
                <w:szCs w:val="21"/>
              </w:rPr>
            </w:pPr>
            <w:r>
              <w:rPr>
                <w:rFonts w:ascii="黑体" w:hAnsi="黑体" w:eastAsia="黑体" w:cs="宋体"/>
                <w:kern w:val="0"/>
                <w:szCs w:val="21"/>
              </w:rPr>
              <w:t>20</w:t>
            </w:r>
            <w:r>
              <w:rPr>
                <w:rFonts w:hint="eastAsia" w:ascii="黑体" w:hAnsi="黑体" w:eastAsia="黑体" w:cs="宋体"/>
                <w:kern w:val="0"/>
                <w:szCs w:val="21"/>
              </w:rPr>
              <w:t>分</w:t>
            </w:r>
          </w:p>
        </w:tc>
        <w:tc>
          <w:tcPr>
            <w:tcW w:w="2067" w:type="dxa"/>
            <w:vAlign w:val="center"/>
          </w:tcPr>
          <w:p>
            <w:pPr>
              <w:jc w:val="center"/>
              <w:rPr>
                <w:rFonts w:ascii="黑体" w:hAnsi="黑体" w:eastAsia="黑体" w:cs="宋体"/>
                <w:kern w:val="0"/>
                <w:szCs w:val="21"/>
              </w:rPr>
            </w:pPr>
            <w:r>
              <w:rPr>
                <w:rFonts w:hint="eastAsia" w:ascii="黑体" w:hAnsi="黑体" w:eastAsia="黑体" w:cs="宋体"/>
                <w:kern w:val="0"/>
                <w:szCs w:val="21"/>
              </w:rPr>
              <w:t>部门自身建设及</w:t>
            </w:r>
          </w:p>
          <w:p>
            <w:pPr>
              <w:jc w:val="center"/>
              <w:rPr>
                <w:rFonts w:ascii="黑体" w:hAnsi="黑体" w:eastAsia="黑体" w:cs="宋体"/>
                <w:kern w:val="0"/>
                <w:szCs w:val="21"/>
              </w:rPr>
            </w:pPr>
            <w:r>
              <w:rPr>
                <w:rFonts w:hint="eastAsia" w:ascii="黑体" w:hAnsi="黑体" w:eastAsia="黑体" w:cs="宋体"/>
                <w:kern w:val="0"/>
                <w:szCs w:val="21"/>
              </w:rPr>
              <w:t>廉政建设</w:t>
            </w:r>
          </w:p>
          <w:p>
            <w:pPr>
              <w:jc w:val="center"/>
              <w:rPr>
                <w:rFonts w:ascii="黑体" w:hAnsi="黑体" w:eastAsia="黑体" w:cs="宋体"/>
                <w:kern w:val="0"/>
                <w:szCs w:val="21"/>
              </w:rPr>
            </w:pPr>
            <w:r>
              <w:rPr>
                <w:rFonts w:ascii="黑体" w:hAnsi="黑体" w:eastAsia="黑体" w:cs="宋体"/>
                <w:kern w:val="0"/>
                <w:szCs w:val="21"/>
              </w:rPr>
              <w:t>10</w:t>
            </w:r>
            <w:r>
              <w:rPr>
                <w:rFonts w:hint="eastAsia" w:ascii="黑体" w:hAnsi="黑体" w:eastAsia="黑体" w:cs="宋体"/>
                <w:kern w:val="0"/>
                <w:szCs w:val="21"/>
              </w:rPr>
              <w:t>分</w:t>
            </w:r>
          </w:p>
        </w:tc>
        <w:tc>
          <w:tcPr>
            <w:tcW w:w="1418" w:type="dxa"/>
            <w:vAlign w:val="center"/>
          </w:tcPr>
          <w:p>
            <w:pPr>
              <w:jc w:val="center"/>
              <w:rPr>
                <w:rFonts w:ascii="黑体" w:hAnsi="黑体" w:eastAsia="黑体"/>
                <w:szCs w:val="21"/>
              </w:rPr>
            </w:pPr>
            <w:r>
              <w:rPr>
                <w:rFonts w:hint="eastAsia" w:ascii="黑体" w:hAnsi="黑体" w:eastAsia="黑体"/>
                <w:szCs w:val="21"/>
              </w:rPr>
              <w:t>合计</w:t>
            </w:r>
          </w:p>
          <w:p>
            <w:pPr>
              <w:jc w:val="center"/>
              <w:rPr>
                <w:rFonts w:ascii="黑体" w:hAnsi="黑体" w:eastAsia="黑体"/>
                <w:szCs w:val="21"/>
              </w:rPr>
            </w:pPr>
            <w:r>
              <w:rPr>
                <w:rFonts w:ascii="黑体" w:hAnsi="黑体" w:eastAsia="黑体"/>
                <w:szCs w:val="21"/>
              </w:rPr>
              <w:t>100</w:t>
            </w:r>
            <w:r>
              <w:rPr>
                <w:rFonts w:hint="eastAsia" w:ascii="黑体" w:hAnsi="黑体" w:eastAsia="黑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办公室</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组织人事处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宣传统战部</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纪委办公室、监察审计处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教务处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实验实训中心（校企合作处）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督导室</w:t>
            </w:r>
            <w:r>
              <w:rPr>
                <w:rFonts w:ascii="黑体" w:hAnsi="黑体" w:eastAsia="黑体" w:cs="宋体"/>
                <w:kern w:val="0"/>
                <w:szCs w:val="21"/>
              </w:rPr>
              <w:t xml:space="preserve">      </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科研处（学报编辑部）</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学生工作处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招生就业处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财务处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工会</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团委</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后勤管理处</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国有资产管理办公室</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保卫处</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图书馆</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继续教育学院</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信息管理中心</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校医院</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bl>
    <w:p>
      <w:pPr>
        <w:rPr>
          <w:rFonts w:ascii="宋体"/>
          <w:b/>
          <w:sz w:val="18"/>
          <w:szCs w:val="18"/>
        </w:rPr>
      </w:pPr>
      <w:r>
        <w:rPr>
          <w:rFonts w:hint="eastAsia" w:ascii="宋体"/>
          <w:b/>
          <w:sz w:val="18"/>
          <w:szCs w:val="18"/>
        </w:rPr>
        <w:t>注：</w:t>
      </w:r>
      <w:r>
        <w:rPr>
          <w:rFonts w:ascii="宋体"/>
          <w:b/>
          <w:sz w:val="18"/>
          <w:szCs w:val="18"/>
        </w:rPr>
        <w:t>1</w:t>
      </w:r>
      <w:r>
        <w:rPr>
          <w:rFonts w:hint="eastAsia" w:ascii="宋体"/>
          <w:b/>
          <w:sz w:val="18"/>
          <w:szCs w:val="18"/>
        </w:rPr>
        <w:t>、请根据相应测评指标进行考核。每个栏目最高可打满分，但不得打零分、全部相同或不打分。</w:t>
      </w:r>
      <w:r>
        <w:rPr>
          <w:sz w:val="18"/>
          <w:szCs w:val="18"/>
        </w:rPr>
        <w:t xml:space="preserve">  </w:t>
      </w:r>
      <w:r>
        <w:rPr>
          <w:rFonts w:ascii="宋体"/>
          <w:b/>
          <w:sz w:val="18"/>
          <w:szCs w:val="18"/>
        </w:rPr>
        <w:t>2</w:t>
      </w:r>
      <w:r>
        <w:rPr>
          <w:rFonts w:hint="eastAsia" w:ascii="宋体"/>
          <w:b/>
          <w:sz w:val="18"/>
          <w:szCs w:val="18"/>
        </w:rPr>
        <w:t>、请于</w:t>
      </w:r>
      <w:r>
        <w:rPr>
          <w:rFonts w:ascii="宋体"/>
          <w:b/>
          <w:sz w:val="18"/>
          <w:szCs w:val="18"/>
        </w:rPr>
        <w:t xml:space="preserve">  </w:t>
      </w:r>
      <w:r>
        <w:rPr>
          <w:rFonts w:hint="eastAsia" w:ascii="宋体"/>
          <w:b/>
          <w:sz w:val="18"/>
          <w:szCs w:val="18"/>
        </w:rPr>
        <w:t>月</w:t>
      </w:r>
      <w:r>
        <w:rPr>
          <w:rFonts w:ascii="宋体"/>
          <w:b/>
          <w:sz w:val="18"/>
          <w:szCs w:val="18"/>
        </w:rPr>
        <w:t xml:space="preserve">  </w:t>
      </w:r>
      <w:r>
        <w:rPr>
          <w:rFonts w:hint="eastAsia" w:ascii="宋体"/>
          <w:b/>
          <w:sz w:val="18"/>
          <w:szCs w:val="18"/>
        </w:rPr>
        <w:t>号下午</w:t>
      </w:r>
      <w:r>
        <w:rPr>
          <w:rFonts w:ascii="宋体"/>
          <w:b/>
          <w:sz w:val="18"/>
          <w:szCs w:val="18"/>
        </w:rPr>
        <w:t xml:space="preserve">   </w:t>
      </w:r>
      <w:r>
        <w:rPr>
          <w:rFonts w:hint="eastAsia" w:ascii="宋体"/>
          <w:b/>
          <w:sz w:val="18"/>
          <w:szCs w:val="18"/>
        </w:rPr>
        <w:t>点之前投到弘商楼投票箱内</w:t>
      </w:r>
    </w:p>
    <w:p>
      <w:pPr>
        <w:ind w:firstLine="9870" w:firstLineChars="4700"/>
        <w:rPr>
          <w:rFonts w:ascii="宋体"/>
          <w:b/>
          <w:sz w:val="18"/>
          <w:szCs w:val="18"/>
        </w:rPr>
      </w:pPr>
      <w:r>
        <w:rPr>
          <w:rFonts w:hint="eastAsia" w:ascii="黑体" w:hAnsi="黑体" w:eastAsia="黑体" w:cs="Tahoma"/>
          <w:color w:val="000000"/>
          <w:kern w:val="0"/>
          <w:szCs w:val="21"/>
        </w:rPr>
        <w:t>测评单位：</w:t>
      </w:r>
      <w:r>
        <w:rPr>
          <w:rFonts w:ascii="黑体" w:hAnsi="黑体" w:eastAsia="黑体" w:cs="Tahoma"/>
          <w:color w:val="000000"/>
          <w:kern w:val="0"/>
          <w:szCs w:val="21"/>
          <w:u w:val="single"/>
        </w:rPr>
        <w:t xml:space="preserve">           </w:t>
      </w:r>
      <w:r>
        <w:rPr>
          <w:rFonts w:hint="eastAsia" w:ascii="黑体" w:hAnsi="黑体" w:eastAsia="黑体" w:cs="Tahoma"/>
          <w:color w:val="000000"/>
          <w:kern w:val="0"/>
          <w:szCs w:val="21"/>
          <w:u w:val="single"/>
        </w:rPr>
        <w:t>（盖章）</w:t>
      </w:r>
    </w:p>
    <w:p>
      <w:pPr>
        <w:widowControl/>
        <w:shd w:val="clear" w:color="auto" w:fill="FFFFFF"/>
        <w:spacing w:line="270" w:lineRule="atLeast"/>
        <w:jc w:val="center"/>
        <w:rPr>
          <w:rFonts w:ascii="楷体_GB2312" w:hAnsi="Tahoma" w:eastAsia="楷体_GB2312" w:cs="Tahoma"/>
          <w:color w:val="000000"/>
          <w:kern w:val="0"/>
          <w:sz w:val="28"/>
          <w:szCs w:val="28"/>
        </w:rPr>
      </w:pPr>
      <w:r>
        <w:rPr>
          <w:rFonts w:hint="eastAsia" w:ascii="黑体" w:eastAsia="黑体"/>
          <w:b/>
          <w:sz w:val="28"/>
          <w:szCs w:val="28"/>
        </w:rPr>
        <w:t>行政部门互相测评打分表（表五）</w:t>
      </w:r>
    </w:p>
    <w:tbl>
      <w:tblPr>
        <w:tblStyle w:val="6"/>
        <w:tblW w:w="13319" w:type="dxa"/>
        <w:jc w:val="center"/>
        <w:tblInd w:w="-1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377"/>
        <w:gridCol w:w="1418"/>
        <w:gridCol w:w="1417"/>
        <w:gridCol w:w="1276"/>
        <w:gridCol w:w="1417"/>
        <w:gridCol w:w="206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tcBorders>
              <w:tl2br w:val="single" w:color="auto" w:sz="4" w:space="0"/>
            </w:tcBorders>
            <w:vAlign w:val="center"/>
          </w:tcPr>
          <w:p>
            <w:pPr>
              <w:jc w:val="right"/>
              <w:rPr>
                <w:rFonts w:ascii="黑体" w:hAnsi="黑体" w:eastAsia="黑体" w:cs="宋体"/>
                <w:kern w:val="0"/>
                <w:szCs w:val="21"/>
              </w:rPr>
            </w:pPr>
            <w:r>
              <w:rPr>
                <w:rFonts w:ascii="黑体" w:hAnsi="黑体" w:eastAsia="黑体" w:cs="宋体"/>
                <w:kern w:val="0"/>
                <w:szCs w:val="21"/>
              </w:rPr>
              <w:t xml:space="preserve">  </w:t>
            </w:r>
            <w:r>
              <w:rPr>
                <w:rFonts w:hint="eastAsia" w:ascii="黑体" w:hAnsi="黑体" w:eastAsia="黑体" w:cs="宋体"/>
                <w:kern w:val="0"/>
                <w:szCs w:val="21"/>
              </w:rPr>
              <w:t>考核内容</w:t>
            </w:r>
          </w:p>
          <w:p>
            <w:pPr>
              <w:jc w:val="center"/>
              <w:rPr>
                <w:rFonts w:ascii="黑体" w:hAnsi="黑体" w:eastAsia="黑体" w:cs="宋体"/>
                <w:kern w:val="0"/>
                <w:szCs w:val="21"/>
              </w:rPr>
            </w:pPr>
          </w:p>
          <w:p>
            <w:pPr>
              <w:jc w:val="left"/>
              <w:rPr>
                <w:rFonts w:ascii="宋体"/>
                <w:sz w:val="24"/>
              </w:rPr>
            </w:pPr>
            <w:r>
              <w:rPr>
                <w:rFonts w:hint="eastAsia" w:ascii="黑体" w:hAnsi="黑体" w:eastAsia="黑体" w:cs="宋体"/>
                <w:kern w:val="0"/>
                <w:szCs w:val="21"/>
              </w:rPr>
              <w:t>被测评对象</w:t>
            </w:r>
          </w:p>
        </w:tc>
        <w:tc>
          <w:tcPr>
            <w:tcW w:w="1377" w:type="dxa"/>
            <w:vAlign w:val="center"/>
          </w:tcPr>
          <w:p>
            <w:pPr>
              <w:jc w:val="center"/>
              <w:rPr>
                <w:rFonts w:ascii="黑体" w:hAnsi="黑体" w:eastAsia="黑体"/>
                <w:szCs w:val="21"/>
              </w:rPr>
            </w:pPr>
            <w:r>
              <w:rPr>
                <w:rFonts w:hint="eastAsia" w:ascii="黑体" w:hAnsi="黑体" w:eastAsia="黑体"/>
                <w:szCs w:val="21"/>
              </w:rPr>
              <w:t>党建和思想政治工作</w:t>
            </w:r>
          </w:p>
          <w:p>
            <w:pPr>
              <w:jc w:val="center"/>
              <w:rPr>
                <w:rFonts w:ascii="黑体" w:hAnsi="黑体" w:eastAsia="黑体"/>
                <w:szCs w:val="21"/>
              </w:rPr>
            </w:pPr>
            <w:r>
              <w:rPr>
                <w:rFonts w:ascii="黑体" w:hAnsi="黑体" w:eastAsia="黑体"/>
                <w:szCs w:val="21"/>
              </w:rPr>
              <w:t>20</w:t>
            </w:r>
            <w:r>
              <w:rPr>
                <w:rFonts w:hint="eastAsia" w:ascii="黑体" w:hAnsi="黑体" w:eastAsia="黑体"/>
                <w:szCs w:val="21"/>
              </w:rPr>
              <w:t>分</w:t>
            </w:r>
          </w:p>
        </w:tc>
        <w:tc>
          <w:tcPr>
            <w:tcW w:w="1418" w:type="dxa"/>
            <w:vAlign w:val="center"/>
          </w:tcPr>
          <w:p>
            <w:pPr>
              <w:jc w:val="center"/>
              <w:rPr>
                <w:rFonts w:ascii="黑体" w:hAnsi="黑体" w:eastAsia="黑体"/>
                <w:szCs w:val="21"/>
              </w:rPr>
            </w:pPr>
            <w:r>
              <w:rPr>
                <w:rFonts w:hint="eastAsia" w:ascii="黑体" w:hAnsi="黑体" w:eastAsia="黑体"/>
                <w:szCs w:val="21"/>
              </w:rPr>
              <w:t>年度任务执行情况</w:t>
            </w:r>
          </w:p>
          <w:p>
            <w:pPr>
              <w:jc w:val="center"/>
              <w:rPr>
                <w:rFonts w:ascii="黑体" w:hAnsi="黑体" w:eastAsia="黑体"/>
                <w:szCs w:val="21"/>
              </w:rPr>
            </w:pPr>
            <w:r>
              <w:rPr>
                <w:rFonts w:ascii="黑体" w:hAnsi="黑体" w:eastAsia="黑体"/>
                <w:szCs w:val="21"/>
              </w:rPr>
              <w:t>20</w:t>
            </w:r>
            <w:r>
              <w:rPr>
                <w:rFonts w:hint="eastAsia" w:ascii="黑体" w:hAnsi="黑体" w:eastAsia="黑体"/>
                <w:szCs w:val="21"/>
              </w:rPr>
              <w:t>分</w:t>
            </w:r>
          </w:p>
        </w:tc>
        <w:tc>
          <w:tcPr>
            <w:tcW w:w="1417" w:type="dxa"/>
            <w:vAlign w:val="center"/>
          </w:tcPr>
          <w:p>
            <w:pPr>
              <w:jc w:val="center"/>
              <w:rPr>
                <w:rFonts w:ascii="黑体" w:hAnsi="黑体" w:eastAsia="黑体" w:cs="宋体"/>
                <w:kern w:val="0"/>
                <w:szCs w:val="21"/>
              </w:rPr>
            </w:pPr>
            <w:r>
              <w:rPr>
                <w:rFonts w:hint="eastAsia" w:ascii="黑体" w:hAnsi="黑体" w:eastAsia="黑体" w:cs="宋体"/>
                <w:kern w:val="0"/>
                <w:szCs w:val="21"/>
              </w:rPr>
              <w:t>履行部门</w:t>
            </w:r>
          </w:p>
          <w:p>
            <w:pPr>
              <w:jc w:val="center"/>
              <w:rPr>
                <w:rFonts w:ascii="黑体" w:hAnsi="黑体" w:eastAsia="黑体" w:cs="宋体"/>
                <w:kern w:val="0"/>
                <w:szCs w:val="21"/>
              </w:rPr>
            </w:pPr>
            <w:r>
              <w:rPr>
                <w:rFonts w:hint="eastAsia" w:ascii="黑体" w:hAnsi="黑体" w:eastAsia="黑体" w:cs="宋体"/>
                <w:kern w:val="0"/>
                <w:szCs w:val="21"/>
              </w:rPr>
              <w:t>工作职责</w:t>
            </w:r>
          </w:p>
          <w:p>
            <w:pPr>
              <w:jc w:val="center"/>
              <w:rPr>
                <w:rFonts w:ascii="黑体" w:hAnsi="黑体" w:eastAsia="黑体"/>
                <w:szCs w:val="21"/>
              </w:rPr>
            </w:pPr>
            <w:r>
              <w:rPr>
                <w:rFonts w:ascii="黑体" w:hAnsi="黑体" w:eastAsia="黑体" w:cs="宋体"/>
                <w:kern w:val="0"/>
                <w:szCs w:val="21"/>
              </w:rPr>
              <w:t>20</w:t>
            </w:r>
            <w:r>
              <w:rPr>
                <w:rFonts w:hint="eastAsia" w:ascii="黑体" w:hAnsi="黑体" w:eastAsia="黑体" w:cs="宋体"/>
                <w:kern w:val="0"/>
                <w:szCs w:val="21"/>
              </w:rPr>
              <w:t>分</w:t>
            </w:r>
          </w:p>
        </w:tc>
        <w:tc>
          <w:tcPr>
            <w:tcW w:w="1276" w:type="dxa"/>
            <w:vAlign w:val="center"/>
          </w:tcPr>
          <w:p>
            <w:pPr>
              <w:jc w:val="center"/>
              <w:rPr>
                <w:rFonts w:ascii="黑体" w:hAnsi="黑体" w:eastAsia="黑体"/>
                <w:szCs w:val="21"/>
              </w:rPr>
            </w:pPr>
            <w:r>
              <w:rPr>
                <w:rFonts w:hint="eastAsia" w:ascii="黑体" w:hAnsi="黑体" w:eastAsia="黑体"/>
                <w:szCs w:val="21"/>
              </w:rPr>
              <w:t>工作效能、</w:t>
            </w:r>
          </w:p>
          <w:p>
            <w:pPr>
              <w:jc w:val="center"/>
              <w:rPr>
                <w:rFonts w:ascii="黑体" w:hAnsi="黑体" w:eastAsia="黑体"/>
                <w:szCs w:val="21"/>
              </w:rPr>
            </w:pPr>
            <w:r>
              <w:rPr>
                <w:rFonts w:hint="eastAsia" w:ascii="黑体" w:hAnsi="黑体" w:eastAsia="黑体"/>
                <w:szCs w:val="21"/>
              </w:rPr>
              <w:t>工作创新</w:t>
            </w:r>
          </w:p>
          <w:p>
            <w:pPr>
              <w:jc w:val="center"/>
              <w:rPr>
                <w:rFonts w:ascii="黑体" w:hAnsi="黑体" w:eastAsia="黑体"/>
                <w:szCs w:val="21"/>
              </w:rPr>
            </w:pPr>
            <w:r>
              <w:rPr>
                <w:rFonts w:ascii="黑体" w:hAnsi="黑体" w:eastAsia="黑体"/>
                <w:szCs w:val="21"/>
              </w:rPr>
              <w:t>10</w:t>
            </w:r>
            <w:r>
              <w:rPr>
                <w:rFonts w:hint="eastAsia" w:ascii="黑体" w:hAnsi="黑体" w:eastAsia="黑体"/>
                <w:szCs w:val="21"/>
              </w:rPr>
              <w:t>分</w:t>
            </w:r>
          </w:p>
        </w:tc>
        <w:tc>
          <w:tcPr>
            <w:tcW w:w="1417" w:type="dxa"/>
            <w:vAlign w:val="center"/>
          </w:tcPr>
          <w:p>
            <w:pPr>
              <w:jc w:val="center"/>
              <w:rPr>
                <w:rFonts w:ascii="黑体" w:hAnsi="黑体" w:eastAsia="黑体" w:cs="宋体"/>
                <w:kern w:val="0"/>
                <w:szCs w:val="21"/>
              </w:rPr>
            </w:pPr>
            <w:r>
              <w:rPr>
                <w:rFonts w:hint="eastAsia" w:ascii="黑体" w:hAnsi="黑体" w:eastAsia="黑体" w:cs="宋体"/>
                <w:kern w:val="0"/>
                <w:szCs w:val="21"/>
              </w:rPr>
              <w:t>服务意识、</w:t>
            </w:r>
          </w:p>
          <w:p>
            <w:pPr>
              <w:jc w:val="center"/>
              <w:rPr>
                <w:rFonts w:ascii="黑体" w:hAnsi="黑体" w:eastAsia="黑体" w:cs="宋体"/>
                <w:kern w:val="0"/>
                <w:szCs w:val="21"/>
              </w:rPr>
            </w:pPr>
            <w:r>
              <w:rPr>
                <w:rFonts w:hint="eastAsia" w:ascii="黑体" w:hAnsi="黑体" w:eastAsia="黑体" w:cs="宋体"/>
                <w:kern w:val="0"/>
                <w:szCs w:val="21"/>
              </w:rPr>
              <w:t>服务水平</w:t>
            </w:r>
          </w:p>
          <w:p>
            <w:pPr>
              <w:jc w:val="center"/>
              <w:rPr>
                <w:rFonts w:ascii="黑体" w:hAnsi="黑体" w:eastAsia="黑体"/>
                <w:szCs w:val="21"/>
              </w:rPr>
            </w:pPr>
            <w:r>
              <w:rPr>
                <w:rFonts w:ascii="黑体" w:hAnsi="黑体" w:eastAsia="黑体" w:cs="宋体"/>
                <w:kern w:val="0"/>
                <w:szCs w:val="21"/>
              </w:rPr>
              <w:t>20</w:t>
            </w:r>
            <w:r>
              <w:rPr>
                <w:rFonts w:hint="eastAsia" w:ascii="黑体" w:hAnsi="黑体" w:eastAsia="黑体" w:cs="宋体"/>
                <w:kern w:val="0"/>
                <w:szCs w:val="21"/>
              </w:rPr>
              <w:t>分</w:t>
            </w:r>
          </w:p>
        </w:tc>
        <w:tc>
          <w:tcPr>
            <w:tcW w:w="2067" w:type="dxa"/>
            <w:vAlign w:val="center"/>
          </w:tcPr>
          <w:p>
            <w:pPr>
              <w:jc w:val="center"/>
              <w:rPr>
                <w:rFonts w:ascii="黑体" w:hAnsi="黑体" w:eastAsia="黑体" w:cs="宋体"/>
                <w:kern w:val="0"/>
                <w:szCs w:val="21"/>
              </w:rPr>
            </w:pPr>
            <w:r>
              <w:rPr>
                <w:rFonts w:hint="eastAsia" w:ascii="黑体" w:hAnsi="黑体" w:eastAsia="黑体" w:cs="宋体"/>
                <w:kern w:val="0"/>
                <w:szCs w:val="21"/>
              </w:rPr>
              <w:t>部门自身建设及</w:t>
            </w:r>
          </w:p>
          <w:p>
            <w:pPr>
              <w:jc w:val="center"/>
              <w:rPr>
                <w:rFonts w:ascii="黑体" w:hAnsi="黑体" w:eastAsia="黑体" w:cs="宋体"/>
                <w:kern w:val="0"/>
                <w:szCs w:val="21"/>
              </w:rPr>
            </w:pPr>
            <w:r>
              <w:rPr>
                <w:rFonts w:hint="eastAsia" w:ascii="黑体" w:hAnsi="黑体" w:eastAsia="黑体" w:cs="宋体"/>
                <w:kern w:val="0"/>
                <w:szCs w:val="21"/>
              </w:rPr>
              <w:t>廉政建设</w:t>
            </w:r>
          </w:p>
          <w:p>
            <w:pPr>
              <w:jc w:val="center"/>
              <w:rPr>
                <w:rFonts w:ascii="黑体" w:hAnsi="黑体" w:eastAsia="黑体" w:cs="宋体"/>
                <w:kern w:val="0"/>
                <w:szCs w:val="21"/>
              </w:rPr>
            </w:pPr>
            <w:r>
              <w:rPr>
                <w:rFonts w:ascii="黑体" w:hAnsi="黑体" w:eastAsia="黑体" w:cs="宋体"/>
                <w:kern w:val="0"/>
                <w:szCs w:val="21"/>
              </w:rPr>
              <w:t>10</w:t>
            </w:r>
            <w:r>
              <w:rPr>
                <w:rFonts w:hint="eastAsia" w:ascii="黑体" w:hAnsi="黑体" w:eastAsia="黑体" w:cs="宋体"/>
                <w:kern w:val="0"/>
                <w:szCs w:val="21"/>
              </w:rPr>
              <w:t>分</w:t>
            </w:r>
          </w:p>
        </w:tc>
        <w:tc>
          <w:tcPr>
            <w:tcW w:w="1418" w:type="dxa"/>
            <w:vAlign w:val="center"/>
          </w:tcPr>
          <w:p>
            <w:pPr>
              <w:jc w:val="center"/>
              <w:rPr>
                <w:rFonts w:ascii="黑体" w:hAnsi="黑体" w:eastAsia="黑体"/>
                <w:szCs w:val="21"/>
              </w:rPr>
            </w:pPr>
            <w:r>
              <w:rPr>
                <w:rFonts w:hint="eastAsia" w:ascii="黑体" w:hAnsi="黑体" w:eastAsia="黑体"/>
                <w:szCs w:val="21"/>
              </w:rPr>
              <w:t>合计</w:t>
            </w:r>
          </w:p>
          <w:p>
            <w:pPr>
              <w:jc w:val="center"/>
              <w:rPr>
                <w:rFonts w:ascii="黑体" w:hAnsi="黑体" w:eastAsia="黑体"/>
                <w:szCs w:val="21"/>
              </w:rPr>
            </w:pPr>
            <w:r>
              <w:rPr>
                <w:rFonts w:ascii="黑体" w:hAnsi="黑体" w:eastAsia="黑体"/>
                <w:szCs w:val="21"/>
              </w:rPr>
              <w:t>100</w:t>
            </w:r>
            <w:r>
              <w:rPr>
                <w:rFonts w:hint="eastAsia" w:ascii="黑体" w:hAnsi="黑体" w:eastAsia="黑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办公室</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组织人事处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宣传统战部</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纪委办公室、监察审计处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教务处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实验实训中心（校企合作处）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督导室</w:t>
            </w:r>
            <w:r>
              <w:rPr>
                <w:rFonts w:ascii="黑体" w:hAnsi="黑体" w:eastAsia="黑体" w:cs="宋体"/>
                <w:kern w:val="0"/>
                <w:szCs w:val="21"/>
              </w:rPr>
              <w:t xml:space="preserve">      </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科研处（学报编辑部）</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学生工作处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招生就业处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财务处</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工会</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团委</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后勤管理处</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国有资产管理办公室</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保卫处</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图书馆</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继续教育学院</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信息管理中心</w:t>
            </w:r>
          </w:p>
        </w:tc>
        <w:tc>
          <w:tcPr>
            <w:tcW w:w="1377" w:type="dxa"/>
            <w:vAlign w:val="center"/>
          </w:tcPr>
          <w:p>
            <w:pPr>
              <w:jc w:val="center"/>
              <w:rPr>
                <w:rFonts w:ascii="宋体"/>
                <w:sz w:val="24"/>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29" w:type="dxa"/>
            <w:vAlign w:val="center"/>
          </w:tcPr>
          <w:p>
            <w:pPr>
              <w:jc w:val="center"/>
              <w:rPr>
                <w:rFonts w:ascii="黑体" w:hAnsi="黑体" w:eastAsia="黑体" w:cs="宋体"/>
                <w:kern w:val="0"/>
                <w:szCs w:val="21"/>
              </w:rPr>
            </w:pPr>
            <w:r>
              <w:rPr>
                <w:rFonts w:hint="eastAsia" w:ascii="黑体" w:hAnsi="黑体" w:eastAsia="黑体" w:cs="宋体"/>
                <w:kern w:val="0"/>
                <w:szCs w:val="21"/>
              </w:rPr>
              <w:t>校医院</w:t>
            </w:r>
          </w:p>
        </w:tc>
        <w:tc>
          <w:tcPr>
            <w:tcW w:w="1377" w:type="dxa"/>
            <w:vAlign w:val="center"/>
          </w:tcPr>
          <w:p>
            <w:pPr>
              <w:jc w:val="center"/>
              <w:rPr>
                <w:rFonts w:ascii="黑体" w:eastAsia="黑体"/>
              </w:rPr>
            </w:pPr>
          </w:p>
        </w:tc>
        <w:tc>
          <w:tcPr>
            <w:tcW w:w="1418" w:type="dxa"/>
            <w:vAlign w:val="center"/>
          </w:tcPr>
          <w:p>
            <w:pPr>
              <w:jc w:val="center"/>
              <w:rPr>
                <w:rFonts w:ascii="黑体" w:eastAsia="黑体"/>
              </w:rPr>
            </w:pPr>
          </w:p>
        </w:tc>
        <w:tc>
          <w:tcPr>
            <w:tcW w:w="1417" w:type="dxa"/>
            <w:vAlign w:val="center"/>
          </w:tcPr>
          <w:p>
            <w:pPr>
              <w:jc w:val="center"/>
              <w:rPr>
                <w:rFonts w:ascii="黑体" w:eastAsia="黑体"/>
              </w:rPr>
            </w:pPr>
          </w:p>
        </w:tc>
        <w:tc>
          <w:tcPr>
            <w:tcW w:w="1276" w:type="dxa"/>
            <w:vAlign w:val="center"/>
          </w:tcPr>
          <w:p>
            <w:pPr>
              <w:jc w:val="center"/>
              <w:rPr>
                <w:rFonts w:ascii="黑体" w:eastAsia="黑体"/>
              </w:rPr>
            </w:pPr>
          </w:p>
        </w:tc>
        <w:tc>
          <w:tcPr>
            <w:tcW w:w="1417" w:type="dxa"/>
            <w:vAlign w:val="center"/>
          </w:tcPr>
          <w:p>
            <w:pPr>
              <w:jc w:val="center"/>
              <w:rPr>
                <w:rFonts w:ascii="黑体" w:eastAsia="黑体"/>
              </w:rPr>
            </w:pPr>
          </w:p>
        </w:tc>
        <w:tc>
          <w:tcPr>
            <w:tcW w:w="2067" w:type="dxa"/>
          </w:tcPr>
          <w:p>
            <w:pPr>
              <w:jc w:val="center"/>
              <w:rPr>
                <w:rFonts w:ascii="黑体" w:eastAsia="黑体"/>
              </w:rPr>
            </w:pPr>
          </w:p>
        </w:tc>
        <w:tc>
          <w:tcPr>
            <w:tcW w:w="1418" w:type="dxa"/>
            <w:vAlign w:val="center"/>
          </w:tcPr>
          <w:p>
            <w:pPr>
              <w:jc w:val="center"/>
              <w:rPr>
                <w:rFonts w:ascii="黑体" w:eastAsia="黑体"/>
              </w:rPr>
            </w:pPr>
          </w:p>
        </w:tc>
      </w:tr>
    </w:tbl>
    <w:p>
      <w:pPr>
        <w:rPr>
          <w:rFonts w:ascii="黑体" w:hAnsi="黑体" w:eastAsia="黑体" w:cs="Tahoma"/>
          <w:color w:val="000000"/>
          <w:kern w:val="0"/>
          <w:sz w:val="28"/>
          <w:szCs w:val="28"/>
        </w:rPr>
      </w:pPr>
      <w:r>
        <w:rPr>
          <w:rFonts w:hint="eastAsia" w:ascii="宋体"/>
          <w:b/>
          <w:sz w:val="18"/>
          <w:szCs w:val="18"/>
        </w:rPr>
        <w:t>注：</w:t>
      </w:r>
      <w:r>
        <w:rPr>
          <w:rFonts w:ascii="宋体"/>
          <w:b/>
          <w:sz w:val="18"/>
          <w:szCs w:val="18"/>
        </w:rPr>
        <w:t>1</w:t>
      </w:r>
      <w:r>
        <w:rPr>
          <w:rFonts w:hint="eastAsia" w:ascii="宋体"/>
          <w:b/>
          <w:sz w:val="18"/>
          <w:szCs w:val="18"/>
        </w:rPr>
        <w:t>、请根据相应测评指标进行考核。每个栏目最高可打满分，但不得打零分、全部相同或不打分。</w:t>
      </w:r>
      <w:r>
        <w:rPr>
          <w:sz w:val="18"/>
          <w:szCs w:val="18"/>
        </w:rPr>
        <w:t xml:space="preserve">  </w:t>
      </w:r>
      <w:r>
        <w:rPr>
          <w:rFonts w:ascii="宋体"/>
          <w:b/>
          <w:sz w:val="18"/>
          <w:szCs w:val="18"/>
        </w:rPr>
        <w:t>2</w:t>
      </w:r>
      <w:r>
        <w:rPr>
          <w:rFonts w:hint="eastAsia" w:ascii="宋体"/>
          <w:b/>
          <w:sz w:val="18"/>
          <w:szCs w:val="18"/>
        </w:rPr>
        <w:t>、请于</w:t>
      </w:r>
      <w:r>
        <w:rPr>
          <w:rFonts w:ascii="宋体"/>
          <w:b/>
          <w:sz w:val="18"/>
          <w:szCs w:val="18"/>
        </w:rPr>
        <w:t xml:space="preserve">  </w:t>
      </w:r>
      <w:r>
        <w:rPr>
          <w:rFonts w:hint="eastAsia" w:ascii="宋体"/>
          <w:b/>
          <w:sz w:val="18"/>
          <w:szCs w:val="18"/>
        </w:rPr>
        <w:t>月</w:t>
      </w:r>
      <w:r>
        <w:rPr>
          <w:rFonts w:ascii="宋体"/>
          <w:b/>
          <w:sz w:val="18"/>
          <w:szCs w:val="18"/>
        </w:rPr>
        <w:t xml:space="preserve">  </w:t>
      </w:r>
      <w:r>
        <w:rPr>
          <w:rFonts w:hint="eastAsia" w:ascii="宋体"/>
          <w:b/>
          <w:sz w:val="18"/>
          <w:szCs w:val="18"/>
        </w:rPr>
        <w:t>号下午</w:t>
      </w:r>
      <w:r>
        <w:rPr>
          <w:rFonts w:ascii="宋体"/>
          <w:b/>
          <w:sz w:val="18"/>
          <w:szCs w:val="18"/>
        </w:rPr>
        <w:t xml:space="preserve">   </w:t>
      </w:r>
      <w:r>
        <w:rPr>
          <w:rFonts w:hint="eastAsia" w:ascii="宋体"/>
          <w:b/>
          <w:sz w:val="18"/>
          <w:szCs w:val="18"/>
        </w:rPr>
        <w:t>点之前投到弘商楼投票箱内</w:t>
      </w:r>
    </w:p>
    <w:p>
      <w:pPr>
        <w:ind w:firstLine="9870" w:firstLineChars="4700"/>
        <w:rPr>
          <w:rFonts w:ascii="宋体"/>
          <w:b/>
          <w:sz w:val="18"/>
          <w:szCs w:val="18"/>
        </w:rPr>
      </w:pPr>
      <w:r>
        <w:rPr>
          <w:rFonts w:hint="eastAsia" w:ascii="黑体" w:hAnsi="黑体" w:eastAsia="黑体" w:cs="Tahoma"/>
          <w:color w:val="000000"/>
          <w:kern w:val="0"/>
          <w:szCs w:val="21"/>
        </w:rPr>
        <w:t>测评单位：</w:t>
      </w:r>
      <w:r>
        <w:rPr>
          <w:rFonts w:ascii="黑体" w:hAnsi="黑体" w:eastAsia="黑体" w:cs="Tahoma"/>
          <w:color w:val="000000"/>
          <w:kern w:val="0"/>
          <w:szCs w:val="21"/>
          <w:u w:val="single"/>
        </w:rPr>
        <w:t xml:space="preserve">           </w:t>
      </w:r>
      <w:r>
        <w:rPr>
          <w:rFonts w:hint="eastAsia" w:ascii="黑体" w:hAnsi="黑体" w:eastAsia="黑体" w:cs="Tahoma"/>
          <w:color w:val="000000"/>
          <w:kern w:val="0"/>
          <w:szCs w:val="21"/>
          <w:u w:val="single"/>
        </w:rPr>
        <w:t>（盖章）</w:t>
      </w:r>
    </w:p>
    <w:p>
      <w:pPr>
        <w:widowControl/>
        <w:shd w:val="clear" w:color="auto" w:fill="FFFFFF"/>
        <w:spacing w:line="270" w:lineRule="atLeast"/>
        <w:jc w:val="center"/>
      </w:pPr>
    </w:p>
    <w:p>
      <w:pPr>
        <w:widowControl/>
        <w:shd w:val="clear" w:color="auto" w:fill="FFFFFF"/>
        <w:spacing w:line="270" w:lineRule="atLeast"/>
        <w:jc w:val="center"/>
        <w:rPr>
          <w:rFonts w:ascii="Tahoma" w:hAnsi="Tahoma" w:cs="Tahoma"/>
          <w:color w:val="000000"/>
          <w:kern w:val="0"/>
          <w:sz w:val="28"/>
          <w:szCs w:val="28"/>
        </w:rPr>
      </w:pPr>
      <w:r>
        <w:rPr>
          <w:rFonts w:hint="eastAsia" w:ascii="宋体" w:hAnsi="宋体" w:cs="Tahoma"/>
          <w:b/>
          <w:bCs/>
          <w:color w:val="000000"/>
          <w:kern w:val="0"/>
          <w:sz w:val="28"/>
          <w:szCs w:val="28"/>
        </w:rPr>
        <w:t>校领导对系部、行政部门负责人年度考核测评表（表六）</w:t>
      </w:r>
    </w:p>
    <w:tbl>
      <w:tblPr>
        <w:tblStyle w:val="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442"/>
        <w:gridCol w:w="994"/>
        <w:gridCol w:w="1218"/>
        <w:gridCol w:w="1218"/>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序号</w:t>
            </w:r>
          </w:p>
        </w:tc>
        <w:tc>
          <w:tcPr>
            <w:tcW w:w="1442"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所在部门</w:t>
            </w:r>
          </w:p>
        </w:tc>
        <w:tc>
          <w:tcPr>
            <w:tcW w:w="994"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姓名</w:t>
            </w:r>
          </w:p>
        </w:tc>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优秀</w:t>
            </w:r>
          </w:p>
        </w:tc>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良好</w:t>
            </w:r>
          </w:p>
        </w:tc>
        <w:tc>
          <w:tcPr>
            <w:tcW w:w="1219"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合格</w:t>
            </w:r>
          </w:p>
        </w:tc>
        <w:tc>
          <w:tcPr>
            <w:tcW w:w="1219"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pPr>
          </w:p>
        </w:tc>
        <w:tc>
          <w:tcPr>
            <w:tcW w:w="1442" w:type="dxa"/>
          </w:tcPr>
          <w:p>
            <w:pPr>
              <w:widowControl/>
              <w:spacing w:line="270" w:lineRule="atLeast"/>
              <w:jc w:val="center"/>
            </w:pPr>
          </w:p>
        </w:tc>
        <w:tc>
          <w:tcPr>
            <w:tcW w:w="994" w:type="dxa"/>
          </w:tcPr>
          <w:p>
            <w:pPr>
              <w:widowControl/>
              <w:spacing w:line="270" w:lineRule="atLeast"/>
              <w:jc w:val="center"/>
            </w:pPr>
          </w:p>
        </w:tc>
        <w:tc>
          <w:tcPr>
            <w:tcW w:w="1218" w:type="dxa"/>
          </w:tcPr>
          <w:p>
            <w:pPr>
              <w:widowControl/>
              <w:spacing w:line="270" w:lineRule="atLeast"/>
              <w:jc w:val="center"/>
            </w:pPr>
          </w:p>
        </w:tc>
        <w:tc>
          <w:tcPr>
            <w:tcW w:w="1218" w:type="dxa"/>
          </w:tcPr>
          <w:p>
            <w:pPr>
              <w:widowControl/>
              <w:spacing w:line="270" w:lineRule="atLeast"/>
              <w:jc w:val="center"/>
            </w:pPr>
          </w:p>
        </w:tc>
        <w:tc>
          <w:tcPr>
            <w:tcW w:w="1219" w:type="dxa"/>
          </w:tcPr>
          <w:p>
            <w:pPr>
              <w:widowControl/>
              <w:spacing w:line="270" w:lineRule="atLeast"/>
              <w:jc w:val="center"/>
            </w:pPr>
          </w:p>
        </w:tc>
        <w:tc>
          <w:tcPr>
            <w:tcW w:w="1219" w:type="dxa"/>
          </w:tcPr>
          <w:p>
            <w:pPr>
              <w:widowControl/>
              <w:spacing w:line="27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pPr>
          </w:p>
        </w:tc>
        <w:tc>
          <w:tcPr>
            <w:tcW w:w="1442" w:type="dxa"/>
          </w:tcPr>
          <w:p>
            <w:pPr>
              <w:widowControl/>
              <w:spacing w:line="270" w:lineRule="atLeast"/>
              <w:jc w:val="center"/>
            </w:pPr>
          </w:p>
        </w:tc>
        <w:tc>
          <w:tcPr>
            <w:tcW w:w="994" w:type="dxa"/>
          </w:tcPr>
          <w:p>
            <w:pPr>
              <w:widowControl/>
              <w:spacing w:line="270" w:lineRule="atLeast"/>
              <w:jc w:val="center"/>
            </w:pPr>
          </w:p>
        </w:tc>
        <w:tc>
          <w:tcPr>
            <w:tcW w:w="1218" w:type="dxa"/>
          </w:tcPr>
          <w:p>
            <w:pPr>
              <w:widowControl/>
              <w:spacing w:line="270" w:lineRule="atLeast"/>
              <w:jc w:val="center"/>
            </w:pPr>
          </w:p>
        </w:tc>
        <w:tc>
          <w:tcPr>
            <w:tcW w:w="1218" w:type="dxa"/>
          </w:tcPr>
          <w:p>
            <w:pPr>
              <w:widowControl/>
              <w:spacing w:line="270" w:lineRule="atLeast"/>
              <w:jc w:val="center"/>
            </w:pPr>
          </w:p>
        </w:tc>
        <w:tc>
          <w:tcPr>
            <w:tcW w:w="1219" w:type="dxa"/>
          </w:tcPr>
          <w:p>
            <w:pPr>
              <w:widowControl/>
              <w:spacing w:line="270" w:lineRule="atLeast"/>
              <w:jc w:val="center"/>
            </w:pPr>
          </w:p>
        </w:tc>
        <w:tc>
          <w:tcPr>
            <w:tcW w:w="1219" w:type="dxa"/>
          </w:tcPr>
          <w:p>
            <w:pPr>
              <w:widowControl/>
              <w:spacing w:line="270" w:lineRule="atLeast"/>
              <w:jc w:val="center"/>
            </w:pPr>
          </w:p>
        </w:tc>
      </w:tr>
    </w:tbl>
    <w:p>
      <w:pPr>
        <w:widowControl/>
        <w:shd w:val="clear" w:color="auto" w:fill="FFFFFF"/>
        <w:spacing w:line="270" w:lineRule="atLeast"/>
        <w:jc w:val="center"/>
      </w:pPr>
    </w:p>
    <w:p>
      <w:pPr>
        <w:widowControl/>
        <w:shd w:val="clear" w:color="auto" w:fill="FFFFFF"/>
        <w:spacing w:line="270" w:lineRule="atLeast"/>
        <w:jc w:val="center"/>
      </w:pPr>
    </w:p>
    <w:p>
      <w:pPr>
        <w:widowControl/>
        <w:shd w:val="clear" w:color="auto" w:fill="FFFFFF"/>
        <w:spacing w:line="270" w:lineRule="atLeast"/>
        <w:jc w:val="center"/>
      </w:pPr>
    </w:p>
    <w:p>
      <w:pPr>
        <w:widowControl/>
        <w:shd w:val="clear" w:color="auto" w:fill="FFFFFF"/>
        <w:spacing w:line="270" w:lineRule="atLeast"/>
        <w:jc w:val="center"/>
        <w:rPr>
          <w:rFonts w:ascii="Tahoma" w:hAnsi="Tahoma" w:cs="Tahoma"/>
          <w:color w:val="000000"/>
          <w:spacing w:val="-20"/>
          <w:kern w:val="0"/>
          <w:sz w:val="28"/>
          <w:szCs w:val="28"/>
        </w:rPr>
      </w:pPr>
      <w:r>
        <w:rPr>
          <w:rFonts w:hint="eastAsia" w:ascii="宋体" w:hAnsi="宋体" w:cs="Tahoma"/>
          <w:b/>
          <w:bCs/>
          <w:color w:val="000000"/>
          <w:spacing w:val="-20"/>
          <w:kern w:val="0"/>
          <w:sz w:val="28"/>
          <w:szCs w:val="28"/>
        </w:rPr>
        <w:t>中层干部、教职工代表对系部、行政部门负责人年度考核测评表（表七）</w:t>
      </w:r>
    </w:p>
    <w:tbl>
      <w:tblPr>
        <w:tblStyle w:val="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442"/>
        <w:gridCol w:w="994"/>
        <w:gridCol w:w="1218"/>
        <w:gridCol w:w="1218"/>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序号</w:t>
            </w:r>
          </w:p>
        </w:tc>
        <w:tc>
          <w:tcPr>
            <w:tcW w:w="1442"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所在部门</w:t>
            </w:r>
          </w:p>
        </w:tc>
        <w:tc>
          <w:tcPr>
            <w:tcW w:w="994"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姓名</w:t>
            </w:r>
          </w:p>
        </w:tc>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优秀</w:t>
            </w:r>
          </w:p>
        </w:tc>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良好</w:t>
            </w:r>
          </w:p>
        </w:tc>
        <w:tc>
          <w:tcPr>
            <w:tcW w:w="1219"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合格</w:t>
            </w:r>
          </w:p>
        </w:tc>
        <w:tc>
          <w:tcPr>
            <w:tcW w:w="1219"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pPr>
          </w:p>
        </w:tc>
        <w:tc>
          <w:tcPr>
            <w:tcW w:w="1442" w:type="dxa"/>
          </w:tcPr>
          <w:p>
            <w:pPr>
              <w:widowControl/>
              <w:spacing w:line="270" w:lineRule="atLeast"/>
              <w:jc w:val="center"/>
            </w:pPr>
          </w:p>
        </w:tc>
        <w:tc>
          <w:tcPr>
            <w:tcW w:w="994" w:type="dxa"/>
          </w:tcPr>
          <w:p>
            <w:pPr>
              <w:widowControl/>
              <w:spacing w:line="270" w:lineRule="atLeast"/>
              <w:jc w:val="center"/>
            </w:pPr>
          </w:p>
        </w:tc>
        <w:tc>
          <w:tcPr>
            <w:tcW w:w="1218" w:type="dxa"/>
          </w:tcPr>
          <w:p>
            <w:pPr>
              <w:widowControl/>
              <w:spacing w:line="270" w:lineRule="atLeast"/>
              <w:jc w:val="center"/>
            </w:pPr>
          </w:p>
        </w:tc>
        <w:tc>
          <w:tcPr>
            <w:tcW w:w="1218" w:type="dxa"/>
          </w:tcPr>
          <w:p>
            <w:pPr>
              <w:widowControl/>
              <w:spacing w:line="270" w:lineRule="atLeast"/>
              <w:jc w:val="center"/>
            </w:pPr>
          </w:p>
        </w:tc>
        <w:tc>
          <w:tcPr>
            <w:tcW w:w="1219" w:type="dxa"/>
          </w:tcPr>
          <w:p>
            <w:pPr>
              <w:widowControl/>
              <w:spacing w:line="270" w:lineRule="atLeast"/>
              <w:jc w:val="center"/>
            </w:pPr>
          </w:p>
        </w:tc>
        <w:tc>
          <w:tcPr>
            <w:tcW w:w="1219" w:type="dxa"/>
          </w:tcPr>
          <w:p>
            <w:pPr>
              <w:widowControl/>
              <w:spacing w:line="27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pPr>
          </w:p>
        </w:tc>
        <w:tc>
          <w:tcPr>
            <w:tcW w:w="1442" w:type="dxa"/>
          </w:tcPr>
          <w:p>
            <w:pPr>
              <w:widowControl/>
              <w:spacing w:line="270" w:lineRule="atLeast"/>
              <w:jc w:val="center"/>
            </w:pPr>
          </w:p>
        </w:tc>
        <w:tc>
          <w:tcPr>
            <w:tcW w:w="994" w:type="dxa"/>
          </w:tcPr>
          <w:p>
            <w:pPr>
              <w:widowControl/>
              <w:spacing w:line="270" w:lineRule="atLeast"/>
              <w:jc w:val="center"/>
            </w:pPr>
          </w:p>
        </w:tc>
        <w:tc>
          <w:tcPr>
            <w:tcW w:w="1218" w:type="dxa"/>
          </w:tcPr>
          <w:p>
            <w:pPr>
              <w:widowControl/>
              <w:spacing w:line="270" w:lineRule="atLeast"/>
              <w:jc w:val="center"/>
            </w:pPr>
          </w:p>
        </w:tc>
        <w:tc>
          <w:tcPr>
            <w:tcW w:w="1218" w:type="dxa"/>
          </w:tcPr>
          <w:p>
            <w:pPr>
              <w:widowControl/>
              <w:spacing w:line="270" w:lineRule="atLeast"/>
              <w:jc w:val="center"/>
            </w:pPr>
          </w:p>
        </w:tc>
        <w:tc>
          <w:tcPr>
            <w:tcW w:w="1219" w:type="dxa"/>
          </w:tcPr>
          <w:p>
            <w:pPr>
              <w:widowControl/>
              <w:spacing w:line="270" w:lineRule="atLeast"/>
              <w:jc w:val="center"/>
            </w:pPr>
          </w:p>
        </w:tc>
        <w:tc>
          <w:tcPr>
            <w:tcW w:w="1219" w:type="dxa"/>
          </w:tcPr>
          <w:p>
            <w:pPr>
              <w:widowControl/>
              <w:spacing w:line="270" w:lineRule="atLeast"/>
              <w:jc w:val="center"/>
            </w:pPr>
          </w:p>
        </w:tc>
      </w:tr>
    </w:tbl>
    <w:p>
      <w:pPr>
        <w:widowControl/>
        <w:shd w:val="clear" w:color="auto" w:fill="FFFFFF"/>
        <w:spacing w:line="270" w:lineRule="atLeast"/>
        <w:jc w:val="center"/>
        <w:rPr>
          <w:b/>
        </w:rPr>
      </w:pPr>
    </w:p>
    <w:p>
      <w:pPr>
        <w:widowControl/>
        <w:shd w:val="clear" w:color="auto" w:fill="FFFFFF"/>
        <w:spacing w:line="270" w:lineRule="atLeast"/>
        <w:jc w:val="center"/>
      </w:pPr>
    </w:p>
    <w:p>
      <w:pPr>
        <w:widowControl/>
        <w:shd w:val="clear" w:color="auto" w:fill="FFFFFF"/>
        <w:spacing w:line="270" w:lineRule="atLeast"/>
        <w:jc w:val="center"/>
      </w:pPr>
    </w:p>
    <w:p>
      <w:pPr>
        <w:widowControl/>
        <w:shd w:val="clear" w:color="auto" w:fill="FFFFFF"/>
        <w:spacing w:line="270" w:lineRule="atLeast"/>
        <w:jc w:val="center"/>
        <w:rPr>
          <w:rFonts w:ascii="Tahoma" w:hAnsi="Tahoma" w:cs="Tahoma"/>
          <w:color w:val="000000"/>
          <w:kern w:val="0"/>
          <w:sz w:val="28"/>
          <w:szCs w:val="28"/>
        </w:rPr>
      </w:pPr>
      <w:r>
        <w:rPr>
          <w:rFonts w:hint="eastAsia" w:ascii="宋体" w:hAnsi="宋体" w:cs="Tahoma"/>
          <w:b/>
          <w:bCs/>
          <w:color w:val="000000"/>
          <w:kern w:val="0"/>
          <w:sz w:val="28"/>
          <w:szCs w:val="28"/>
        </w:rPr>
        <w:t>二级机构工作人员对系部、行政部门负责人年度考核测评表（表八）</w:t>
      </w:r>
    </w:p>
    <w:tbl>
      <w:tblPr>
        <w:tblStyle w:val="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442"/>
        <w:gridCol w:w="994"/>
        <w:gridCol w:w="1218"/>
        <w:gridCol w:w="1218"/>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序号</w:t>
            </w:r>
          </w:p>
        </w:tc>
        <w:tc>
          <w:tcPr>
            <w:tcW w:w="1442"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所在部门</w:t>
            </w:r>
          </w:p>
        </w:tc>
        <w:tc>
          <w:tcPr>
            <w:tcW w:w="994"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姓名</w:t>
            </w:r>
          </w:p>
        </w:tc>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优秀</w:t>
            </w:r>
          </w:p>
        </w:tc>
        <w:tc>
          <w:tcPr>
            <w:tcW w:w="1218"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良好</w:t>
            </w:r>
          </w:p>
        </w:tc>
        <w:tc>
          <w:tcPr>
            <w:tcW w:w="1219"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合格</w:t>
            </w:r>
          </w:p>
        </w:tc>
        <w:tc>
          <w:tcPr>
            <w:tcW w:w="1219" w:type="dxa"/>
          </w:tcPr>
          <w:p>
            <w:pPr>
              <w:widowControl/>
              <w:spacing w:line="270" w:lineRule="atLeast"/>
              <w:jc w:val="center"/>
              <w:rPr>
                <w:rFonts w:ascii="Courier New" w:hAnsi="Courier New" w:cs="宋体"/>
                <w:b/>
                <w:bCs/>
                <w:color w:val="000000"/>
                <w:kern w:val="0"/>
                <w:sz w:val="28"/>
                <w:szCs w:val="28"/>
              </w:rPr>
            </w:pPr>
            <w:r>
              <w:rPr>
                <w:rFonts w:hint="eastAsia" w:ascii="Courier New" w:hAnsi="Courier New" w:cs="宋体"/>
                <w:b/>
                <w:bCs/>
                <w:color w:val="000000"/>
                <w:kern w:val="0"/>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pPr>
          </w:p>
        </w:tc>
        <w:tc>
          <w:tcPr>
            <w:tcW w:w="1442" w:type="dxa"/>
          </w:tcPr>
          <w:p>
            <w:pPr>
              <w:widowControl/>
              <w:spacing w:line="270" w:lineRule="atLeast"/>
              <w:jc w:val="center"/>
            </w:pPr>
          </w:p>
        </w:tc>
        <w:tc>
          <w:tcPr>
            <w:tcW w:w="994" w:type="dxa"/>
          </w:tcPr>
          <w:p>
            <w:pPr>
              <w:widowControl/>
              <w:spacing w:line="270" w:lineRule="atLeast"/>
              <w:jc w:val="center"/>
            </w:pPr>
          </w:p>
        </w:tc>
        <w:tc>
          <w:tcPr>
            <w:tcW w:w="1218" w:type="dxa"/>
          </w:tcPr>
          <w:p>
            <w:pPr>
              <w:widowControl/>
              <w:spacing w:line="270" w:lineRule="atLeast"/>
              <w:jc w:val="center"/>
            </w:pPr>
          </w:p>
        </w:tc>
        <w:tc>
          <w:tcPr>
            <w:tcW w:w="1218" w:type="dxa"/>
          </w:tcPr>
          <w:p>
            <w:pPr>
              <w:widowControl/>
              <w:spacing w:line="270" w:lineRule="atLeast"/>
              <w:jc w:val="center"/>
            </w:pPr>
          </w:p>
        </w:tc>
        <w:tc>
          <w:tcPr>
            <w:tcW w:w="1219" w:type="dxa"/>
          </w:tcPr>
          <w:p>
            <w:pPr>
              <w:widowControl/>
              <w:spacing w:line="270" w:lineRule="atLeast"/>
              <w:jc w:val="center"/>
            </w:pPr>
          </w:p>
        </w:tc>
        <w:tc>
          <w:tcPr>
            <w:tcW w:w="1219" w:type="dxa"/>
          </w:tcPr>
          <w:p>
            <w:pPr>
              <w:widowControl/>
              <w:spacing w:line="27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tcPr>
          <w:p>
            <w:pPr>
              <w:widowControl/>
              <w:spacing w:line="270" w:lineRule="atLeast"/>
              <w:jc w:val="center"/>
            </w:pPr>
          </w:p>
        </w:tc>
        <w:tc>
          <w:tcPr>
            <w:tcW w:w="1442" w:type="dxa"/>
          </w:tcPr>
          <w:p>
            <w:pPr>
              <w:widowControl/>
              <w:spacing w:line="270" w:lineRule="atLeast"/>
              <w:jc w:val="center"/>
            </w:pPr>
          </w:p>
        </w:tc>
        <w:tc>
          <w:tcPr>
            <w:tcW w:w="994" w:type="dxa"/>
          </w:tcPr>
          <w:p>
            <w:pPr>
              <w:widowControl/>
              <w:spacing w:line="270" w:lineRule="atLeast"/>
              <w:jc w:val="center"/>
            </w:pPr>
          </w:p>
        </w:tc>
        <w:tc>
          <w:tcPr>
            <w:tcW w:w="1218" w:type="dxa"/>
          </w:tcPr>
          <w:p>
            <w:pPr>
              <w:widowControl/>
              <w:spacing w:line="270" w:lineRule="atLeast"/>
              <w:jc w:val="center"/>
            </w:pPr>
          </w:p>
        </w:tc>
        <w:tc>
          <w:tcPr>
            <w:tcW w:w="1218" w:type="dxa"/>
          </w:tcPr>
          <w:p>
            <w:pPr>
              <w:widowControl/>
              <w:spacing w:line="270" w:lineRule="atLeast"/>
              <w:jc w:val="center"/>
            </w:pPr>
          </w:p>
        </w:tc>
        <w:tc>
          <w:tcPr>
            <w:tcW w:w="1219" w:type="dxa"/>
          </w:tcPr>
          <w:p>
            <w:pPr>
              <w:widowControl/>
              <w:spacing w:line="270" w:lineRule="atLeast"/>
              <w:jc w:val="center"/>
            </w:pPr>
          </w:p>
        </w:tc>
        <w:tc>
          <w:tcPr>
            <w:tcW w:w="1219" w:type="dxa"/>
          </w:tcPr>
          <w:p>
            <w:pPr>
              <w:widowControl/>
              <w:spacing w:line="270" w:lineRule="atLeast"/>
              <w:jc w:val="center"/>
            </w:pPr>
          </w:p>
        </w:tc>
      </w:tr>
    </w:tbl>
    <w:p>
      <w:pPr>
        <w:widowControl/>
        <w:shd w:val="clear" w:color="auto" w:fill="FFFFFF"/>
        <w:spacing w:line="270" w:lineRule="atLeast"/>
      </w:pPr>
    </w:p>
    <w:sectPr>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A9D"/>
    <w:rsid w:val="0000086E"/>
    <w:rsid w:val="00003100"/>
    <w:rsid w:val="00003E09"/>
    <w:rsid w:val="000074B7"/>
    <w:rsid w:val="00027C23"/>
    <w:rsid w:val="00032B33"/>
    <w:rsid w:val="0005334A"/>
    <w:rsid w:val="00056092"/>
    <w:rsid w:val="00062156"/>
    <w:rsid w:val="0007386C"/>
    <w:rsid w:val="00095444"/>
    <w:rsid w:val="000B0DC3"/>
    <w:rsid w:val="000B5171"/>
    <w:rsid w:val="000B60D9"/>
    <w:rsid w:val="000C6847"/>
    <w:rsid w:val="000D6879"/>
    <w:rsid w:val="000F44E7"/>
    <w:rsid w:val="000F74A0"/>
    <w:rsid w:val="000F7BF6"/>
    <w:rsid w:val="00126049"/>
    <w:rsid w:val="00130E2C"/>
    <w:rsid w:val="0013236C"/>
    <w:rsid w:val="00134DB1"/>
    <w:rsid w:val="0013512B"/>
    <w:rsid w:val="001366EC"/>
    <w:rsid w:val="0018166E"/>
    <w:rsid w:val="00184E4C"/>
    <w:rsid w:val="0019447C"/>
    <w:rsid w:val="001959B1"/>
    <w:rsid w:val="001A2419"/>
    <w:rsid w:val="001A2BFC"/>
    <w:rsid w:val="001B06AF"/>
    <w:rsid w:val="001D7114"/>
    <w:rsid w:val="001E614A"/>
    <w:rsid w:val="001F1382"/>
    <w:rsid w:val="00271C31"/>
    <w:rsid w:val="002726D5"/>
    <w:rsid w:val="002921F7"/>
    <w:rsid w:val="0029422F"/>
    <w:rsid w:val="002B77A3"/>
    <w:rsid w:val="002B7F32"/>
    <w:rsid w:val="002C6E4A"/>
    <w:rsid w:val="002D1C5C"/>
    <w:rsid w:val="002D38E8"/>
    <w:rsid w:val="002E1E64"/>
    <w:rsid w:val="003066EF"/>
    <w:rsid w:val="00327F14"/>
    <w:rsid w:val="00331854"/>
    <w:rsid w:val="0034306A"/>
    <w:rsid w:val="00345086"/>
    <w:rsid w:val="00367C74"/>
    <w:rsid w:val="00372532"/>
    <w:rsid w:val="003739BB"/>
    <w:rsid w:val="0038277A"/>
    <w:rsid w:val="0038618F"/>
    <w:rsid w:val="003976BB"/>
    <w:rsid w:val="003A1546"/>
    <w:rsid w:val="003A327C"/>
    <w:rsid w:val="003A7BE5"/>
    <w:rsid w:val="003C71D6"/>
    <w:rsid w:val="003E4457"/>
    <w:rsid w:val="003E470E"/>
    <w:rsid w:val="003F0333"/>
    <w:rsid w:val="00412F75"/>
    <w:rsid w:val="00413E20"/>
    <w:rsid w:val="00414934"/>
    <w:rsid w:val="00417301"/>
    <w:rsid w:val="00420D04"/>
    <w:rsid w:val="0042160F"/>
    <w:rsid w:val="00431837"/>
    <w:rsid w:val="00435959"/>
    <w:rsid w:val="00441627"/>
    <w:rsid w:val="004627B4"/>
    <w:rsid w:val="00467219"/>
    <w:rsid w:val="0047153A"/>
    <w:rsid w:val="004972F5"/>
    <w:rsid w:val="004C0635"/>
    <w:rsid w:val="004C32D3"/>
    <w:rsid w:val="004C53FD"/>
    <w:rsid w:val="004D49D2"/>
    <w:rsid w:val="004E747C"/>
    <w:rsid w:val="004F15C8"/>
    <w:rsid w:val="00505AE6"/>
    <w:rsid w:val="00511516"/>
    <w:rsid w:val="00512AA6"/>
    <w:rsid w:val="00541D64"/>
    <w:rsid w:val="00545096"/>
    <w:rsid w:val="005469C3"/>
    <w:rsid w:val="005727A1"/>
    <w:rsid w:val="005A7CF5"/>
    <w:rsid w:val="005C4FAF"/>
    <w:rsid w:val="005C787F"/>
    <w:rsid w:val="005D144E"/>
    <w:rsid w:val="005E70C6"/>
    <w:rsid w:val="005E731D"/>
    <w:rsid w:val="00605601"/>
    <w:rsid w:val="00611111"/>
    <w:rsid w:val="006149C2"/>
    <w:rsid w:val="00614A41"/>
    <w:rsid w:val="00624C1A"/>
    <w:rsid w:val="006277EC"/>
    <w:rsid w:val="00634FBF"/>
    <w:rsid w:val="00644A98"/>
    <w:rsid w:val="00651D62"/>
    <w:rsid w:val="00656F17"/>
    <w:rsid w:val="0066315F"/>
    <w:rsid w:val="00671967"/>
    <w:rsid w:val="00683EDA"/>
    <w:rsid w:val="0068484F"/>
    <w:rsid w:val="00687769"/>
    <w:rsid w:val="006B1792"/>
    <w:rsid w:val="006D6A4D"/>
    <w:rsid w:val="006E58F9"/>
    <w:rsid w:val="00710766"/>
    <w:rsid w:val="00724E50"/>
    <w:rsid w:val="00733118"/>
    <w:rsid w:val="00740102"/>
    <w:rsid w:val="00741EC7"/>
    <w:rsid w:val="00745157"/>
    <w:rsid w:val="00755546"/>
    <w:rsid w:val="00765064"/>
    <w:rsid w:val="007744FB"/>
    <w:rsid w:val="00783898"/>
    <w:rsid w:val="00792BB0"/>
    <w:rsid w:val="007A3190"/>
    <w:rsid w:val="007C07E3"/>
    <w:rsid w:val="007C712A"/>
    <w:rsid w:val="007D404F"/>
    <w:rsid w:val="007D797B"/>
    <w:rsid w:val="007F7439"/>
    <w:rsid w:val="008005C2"/>
    <w:rsid w:val="00810D75"/>
    <w:rsid w:val="00827F28"/>
    <w:rsid w:val="00844594"/>
    <w:rsid w:val="0085776B"/>
    <w:rsid w:val="00861339"/>
    <w:rsid w:val="00861842"/>
    <w:rsid w:val="00873D7C"/>
    <w:rsid w:val="008747B5"/>
    <w:rsid w:val="00894C9B"/>
    <w:rsid w:val="008A6253"/>
    <w:rsid w:val="008C03B8"/>
    <w:rsid w:val="008D64C5"/>
    <w:rsid w:val="008D7F24"/>
    <w:rsid w:val="008F4E9B"/>
    <w:rsid w:val="0090310D"/>
    <w:rsid w:val="00913653"/>
    <w:rsid w:val="00935141"/>
    <w:rsid w:val="00937959"/>
    <w:rsid w:val="00945E7D"/>
    <w:rsid w:val="00954B4E"/>
    <w:rsid w:val="00963A9D"/>
    <w:rsid w:val="00967257"/>
    <w:rsid w:val="009A1151"/>
    <w:rsid w:val="009B2AFB"/>
    <w:rsid w:val="009C1B7C"/>
    <w:rsid w:val="009D35E9"/>
    <w:rsid w:val="009E240E"/>
    <w:rsid w:val="009F060B"/>
    <w:rsid w:val="00A03215"/>
    <w:rsid w:val="00A07E53"/>
    <w:rsid w:val="00A136A5"/>
    <w:rsid w:val="00A30111"/>
    <w:rsid w:val="00A35E9A"/>
    <w:rsid w:val="00A41342"/>
    <w:rsid w:val="00A451ED"/>
    <w:rsid w:val="00A47CCC"/>
    <w:rsid w:val="00A71051"/>
    <w:rsid w:val="00A9099B"/>
    <w:rsid w:val="00AA0522"/>
    <w:rsid w:val="00AA291D"/>
    <w:rsid w:val="00AA6A13"/>
    <w:rsid w:val="00AB1773"/>
    <w:rsid w:val="00AC0282"/>
    <w:rsid w:val="00AD09E5"/>
    <w:rsid w:val="00AE1AE0"/>
    <w:rsid w:val="00B03A4C"/>
    <w:rsid w:val="00B22C27"/>
    <w:rsid w:val="00B261CE"/>
    <w:rsid w:val="00B26777"/>
    <w:rsid w:val="00B60522"/>
    <w:rsid w:val="00B74ED9"/>
    <w:rsid w:val="00B8210A"/>
    <w:rsid w:val="00B860F6"/>
    <w:rsid w:val="00B93E8B"/>
    <w:rsid w:val="00BB0C88"/>
    <w:rsid w:val="00BD6CB4"/>
    <w:rsid w:val="00BE3EC7"/>
    <w:rsid w:val="00BE560B"/>
    <w:rsid w:val="00BE6296"/>
    <w:rsid w:val="00BF078E"/>
    <w:rsid w:val="00C000E3"/>
    <w:rsid w:val="00C006F2"/>
    <w:rsid w:val="00C13C53"/>
    <w:rsid w:val="00C23B53"/>
    <w:rsid w:val="00C53AC4"/>
    <w:rsid w:val="00C56877"/>
    <w:rsid w:val="00C6708C"/>
    <w:rsid w:val="00C73840"/>
    <w:rsid w:val="00C73A75"/>
    <w:rsid w:val="00C73B11"/>
    <w:rsid w:val="00C73BEF"/>
    <w:rsid w:val="00C921CF"/>
    <w:rsid w:val="00CA3914"/>
    <w:rsid w:val="00CB086D"/>
    <w:rsid w:val="00CE154C"/>
    <w:rsid w:val="00CF1933"/>
    <w:rsid w:val="00D01C00"/>
    <w:rsid w:val="00D37D5D"/>
    <w:rsid w:val="00D40A0F"/>
    <w:rsid w:val="00D54D38"/>
    <w:rsid w:val="00D674B5"/>
    <w:rsid w:val="00D75DD5"/>
    <w:rsid w:val="00D8024B"/>
    <w:rsid w:val="00D91266"/>
    <w:rsid w:val="00DA3979"/>
    <w:rsid w:val="00DA78FE"/>
    <w:rsid w:val="00DE4936"/>
    <w:rsid w:val="00E053AE"/>
    <w:rsid w:val="00E16FBA"/>
    <w:rsid w:val="00E23234"/>
    <w:rsid w:val="00E33B0D"/>
    <w:rsid w:val="00E53055"/>
    <w:rsid w:val="00E5400E"/>
    <w:rsid w:val="00E56B2D"/>
    <w:rsid w:val="00E7283D"/>
    <w:rsid w:val="00E72938"/>
    <w:rsid w:val="00E93E17"/>
    <w:rsid w:val="00EA2AEE"/>
    <w:rsid w:val="00EC3EB6"/>
    <w:rsid w:val="00EC53B7"/>
    <w:rsid w:val="00EC5C6A"/>
    <w:rsid w:val="00EE0410"/>
    <w:rsid w:val="00F20AFF"/>
    <w:rsid w:val="00F260F9"/>
    <w:rsid w:val="00F53C50"/>
    <w:rsid w:val="00F67D33"/>
    <w:rsid w:val="00F714F0"/>
    <w:rsid w:val="00F72AC1"/>
    <w:rsid w:val="00F8614A"/>
    <w:rsid w:val="00F930EE"/>
    <w:rsid w:val="00FB7C4C"/>
    <w:rsid w:val="00FC2A43"/>
    <w:rsid w:val="00FD148B"/>
    <w:rsid w:val="00FD62AA"/>
    <w:rsid w:val="00FE6CD1"/>
    <w:rsid w:val="00FF10E6"/>
    <w:rsid w:val="00FF3B53"/>
    <w:rsid w:val="03B20A8E"/>
    <w:rsid w:val="07F17482"/>
    <w:rsid w:val="16CE5B18"/>
    <w:rsid w:val="210552CD"/>
    <w:rsid w:val="22FF7CAB"/>
    <w:rsid w:val="23967327"/>
    <w:rsid w:val="243F3FCE"/>
    <w:rsid w:val="356053D2"/>
    <w:rsid w:val="65806EBC"/>
    <w:rsid w:val="735432A1"/>
    <w:rsid w:val="74210BD5"/>
    <w:rsid w:val="7E5926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kern w:val="0"/>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link w:val="2"/>
    <w:semiHidden/>
    <w:qFormat/>
    <w:locked/>
    <w:uiPriority w:val="99"/>
    <w:rPr>
      <w:rFonts w:cs="Times New Roman"/>
      <w:sz w:val="18"/>
    </w:rPr>
  </w:style>
  <w:style w:type="character" w:customStyle="1" w:styleId="9">
    <w:name w:val="页眉 Char"/>
    <w:link w:val="4"/>
    <w:locked/>
    <w:uiPriority w:val="99"/>
    <w:rPr>
      <w:rFonts w:cs="Times New Roman"/>
      <w:kern w:val="2"/>
      <w:sz w:val="18"/>
    </w:rPr>
  </w:style>
  <w:style w:type="character" w:customStyle="1" w:styleId="10">
    <w:name w:val="页脚 Char"/>
    <w:link w:val="3"/>
    <w:locked/>
    <w:uiPriority w:val="99"/>
    <w:rPr>
      <w:rFonts w:cs="Times New Roman"/>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1273</Words>
  <Characters>7257</Characters>
  <Lines>60</Lines>
  <Paragraphs>17</Paragraphs>
  <ScaleCrop>false</ScaleCrop>
  <LinksUpToDate>false</LinksUpToDate>
  <CharactersWithSpaces>8513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2018-01-15T09:45:00Z</dcterms:created>
  <dc:creator>微软用户</dc:creator>
  <cp:lastModifiedBy>～芳</cp:lastModifiedBy>
  <cp:lastPrinted>2018-01-18T01:04:00Z</cp:lastPrinted>
  <dcterms:modified xsi:type="dcterms:W3CDTF">2018-01-30T07:53:16Z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