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黑体" w:hAnsi="黑体" w:eastAsia="黑体" w:cs="Times New Roman"/>
          <w:b/>
          <w:color w:val="000000"/>
          <w:sz w:val="32"/>
          <w:szCs w:val="32"/>
          <w:lang w:val="en-US" w:eastAsia="zh-CN"/>
        </w:rPr>
      </w:pPr>
      <w:r>
        <w:rPr>
          <w:rFonts w:hint="eastAsia" w:ascii="黑体" w:hAnsi="黑体" w:eastAsia="黑体" w:cs="Times New Roman"/>
          <w:b/>
          <w:color w:val="000000"/>
          <w:sz w:val="32"/>
          <w:szCs w:val="32"/>
        </w:rPr>
        <w:t>高等职业院校办学条件重点监测指标数据</w:t>
      </w:r>
      <w:r>
        <w:rPr>
          <w:rFonts w:hint="eastAsia" w:ascii="黑体" w:hAnsi="黑体" w:eastAsia="黑体" w:cs="Times New Roman"/>
          <w:b/>
          <w:color w:val="000000"/>
          <w:sz w:val="32"/>
          <w:szCs w:val="32"/>
          <w:lang w:val="en-US" w:eastAsia="zh-CN"/>
        </w:rPr>
        <w:t>填报责任分工表</w:t>
      </w:r>
    </w:p>
    <w:tbl>
      <w:tblPr>
        <w:tblStyle w:val="4"/>
        <w:tblW w:w="12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3641"/>
        <w:gridCol w:w="3118"/>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955" w:type="dxa"/>
            <w:gridSpan w:val="2"/>
            <w:noWrap/>
            <w:vAlign w:val="center"/>
          </w:tcPr>
          <w:p>
            <w:pPr>
              <w:spacing w:line="320" w:lineRule="exact"/>
              <w:jc w:val="center"/>
              <w:rPr>
                <w:rFonts w:ascii="微软雅黑" w:hAnsi="微软雅黑" w:eastAsia="微软雅黑"/>
                <w:b/>
                <w:bCs/>
                <w:sz w:val="24"/>
                <w:szCs w:val="24"/>
              </w:rPr>
            </w:pPr>
            <w:r>
              <w:rPr>
                <w:rFonts w:hint="eastAsia" w:ascii="微软雅黑" w:hAnsi="微软雅黑" w:eastAsia="微软雅黑" w:cs="黑体"/>
                <w:b/>
                <w:bCs/>
                <w:sz w:val="24"/>
                <w:szCs w:val="24"/>
              </w:rPr>
              <w:t>信息点</w:t>
            </w:r>
          </w:p>
        </w:tc>
        <w:tc>
          <w:tcPr>
            <w:tcW w:w="3118" w:type="dxa"/>
            <w:vAlign w:val="center"/>
          </w:tcPr>
          <w:p>
            <w:pPr>
              <w:pStyle w:val="6"/>
              <w:snapToGrid w:val="0"/>
              <w:spacing w:line="320" w:lineRule="exact"/>
              <w:jc w:val="center"/>
              <w:rPr>
                <w:rFonts w:ascii="微软雅黑" w:hAnsi="微软雅黑" w:eastAsia="微软雅黑" w:cs="仿宋_GB2312"/>
                <w:b/>
                <w:bCs/>
                <w:color w:val="auto"/>
                <w:sz w:val="24"/>
                <w:szCs w:val="24"/>
              </w:rPr>
            </w:pPr>
            <w:r>
              <w:rPr>
                <w:rFonts w:hint="eastAsia" w:ascii="微软雅黑" w:hAnsi="微软雅黑" w:eastAsia="微软雅黑" w:cs="黑体"/>
                <w:b/>
                <w:bCs/>
                <w:color w:val="auto"/>
                <w:sz w:val="24"/>
                <w:szCs w:val="24"/>
              </w:rPr>
              <w:t>责任部门</w:t>
            </w:r>
          </w:p>
        </w:tc>
        <w:tc>
          <w:tcPr>
            <w:tcW w:w="3300" w:type="dxa"/>
            <w:vAlign w:val="center"/>
          </w:tcPr>
          <w:p>
            <w:pPr>
              <w:pStyle w:val="6"/>
              <w:snapToGrid w:val="0"/>
              <w:spacing w:line="320" w:lineRule="exact"/>
              <w:jc w:val="center"/>
              <w:rPr>
                <w:rFonts w:hint="default" w:ascii="微软雅黑" w:hAnsi="微软雅黑" w:eastAsia="微软雅黑" w:cs="黑体"/>
                <w:b/>
                <w:bCs/>
                <w:color w:val="auto"/>
                <w:sz w:val="24"/>
                <w:szCs w:val="24"/>
                <w:lang w:val="en-US" w:eastAsia="zh-CN"/>
              </w:rPr>
            </w:pPr>
            <w:r>
              <w:rPr>
                <w:rFonts w:hint="eastAsia" w:ascii="微软雅黑" w:hAnsi="微软雅黑" w:eastAsia="微软雅黑" w:cs="黑体"/>
                <w:b/>
                <w:bCs/>
                <w:color w:val="auto"/>
                <w:sz w:val="24"/>
                <w:szCs w:val="24"/>
                <w:lang w:val="en-US" w:eastAsia="zh-CN"/>
              </w:rPr>
              <w:t>增（减）量数据支撑材料清单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restart"/>
            <w:noWrap/>
            <w:vAlign w:val="center"/>
          </w:tcPr>
          <w:p>
            <w:pPr>
              <w:spacing w:line="320" w:lineRule="exact"/>
              <w:jc w:val="center"/>
              <w:rPr>
                <w:rFonts w:ascii="微软雅黑" w:hAnsi="微软雅黑" w:eastAsia="微软雅黑"/>
                <w:sz w:val="24"/>
                <w:szCs w:val="24"/>
              </w:rPr>
            </w:pPr>
            <w:r>
              <w:rPr>
                <w:rFonts w:hint="eastAsia" w:ascii="微软雅黑" w:hAnsi="微软雅黑" w:eastAsia="微软雅黑"/>
                <w:sz w:val="24"/>
                <w:szCs w:val="24"/>
              </w:rPr>
              <w:t>在校生规模</w:t>
            </w: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高职（专科）在校生数</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tc>
        <w:tc>
          <w:tcPr>
            <w:tcW w:w="3300" w:type="dxa"/>
            <w:vMerge w:val="restart"/>
            <w:vAlign w:val="center"/>
          </w:tcPr>
          <w:p>
            <w:pPr>
              <w:spacing w:line="320" w:lineRule="exact"/>
              <w:jc w:val="left"/>
              <w:rPr>
                <w:rFonts w:hint="eastAsia" w:ascii="微软雅黑" w:hAnsi="微软雅黑" w:eastAsia="微软雅黑" w:cs="仿宋_GB2312"/>
                <w:sz w:val="21"/>
                <w:szCs w:val="21"/>
                <w:lang w:eastAsia="zh-CN"/>
              </w:rPr>
            </w:pPr>
            <w:r>
              <w:rPr>
                <w:rFonts w:hint="eastAsia" w:ascii="微软雅黑" w:hAnsi="微软雅黑" w:eastAsia="微软雅黑" w:cs="仿宋_GB2312"/>
                <w:sz w:val="21"/>
                <w:szCs w:val="21"/>
              </w:rPr>
              <w:t>提供学生花名册及学信网系统各类在校生总数截图等能够反映在校生规模的资料</w:t>
            </w:r>
            <w:r>
              <w:rPr>
                <w:rFonts w:hint="eastAsia" w:ascii="微软雅黑" w:hAnsi="微软雅黑" w:eastAsia="微软雅黑" w:cs="仿宋_GB2312"/>
                <w:sz w:val="21"/>
                <w:szCs w:val="21"/>
                <w:lang w:eastAsia="zh-CN"/>
              </w:rPr>
              <w:t>。</w:t>
            </w:r>
          </w:p>
          <w:p>
            <w:pPr>
              <w:spacing w:line="320" w:lineRule="exact"/>
              <w:jc w:val="center"/>
              <w:rPr>
                <w:rFonts w:hint="eastAsia" w:ascii="微软雅黑" w:hAnsi="微软雅黑" w:eastAsia="微软雅黑"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专科留学生在校生数</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办公室</w:t>
            </w:r>
            <w:bookmarkStart w:id="0" w:name="_GoBack"/>
            <w:bookmarkEnd w:id="0"/>
          </w:p>
        </w:tc>
        <w:tc>
          <w:tcPr>
            <w:tcW w:w="3300" w:type="dxa"/>
            <w:vMerge w:val="continue"/>
            <w:vAlign w:val="center"/>
          </w:tcPr>
          <w:p>
            <w:pPr>
              <w:spacing w:line="320" w:lineRule="exact"/>
              <w:jc w:val="center"/>
              <w:rPr>
                <w:rFonts w:hint="eastAsia" w:ascii="微软雅黑" w:hAnsi="微软雅黑" w:eastAsia="微软雅黑"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普通预科生注册生数</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tc>
        <w:tc>
          <w:tcPr>
            <w:tcW w:w="3300" w:type="dxa"/>
            <w:vMerge w:val="continue"/>
            <w:vAlign w:val="center"/>
          </w:tcPr>
          <w:p>
            <w:pPr>
              <w:spacing w:line="320" w:lineRule="exact"/>
              <w:jc w:val="center"/>
              <w:rPr>
                <w:rFonts w:hint="eastAsia" w:ascii="微软雅黑" w:hAnsi="微软雅黑" w:eastAsia="微软雅黑"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进修生</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tc>
        <w:tc>
          <w:tcPr>
            <w:tcW w:w="3300" w:type="dxa"/>
            <w:vMerge w:val="continue"/>
            <w:vAlign w:val="center"/>
          </w:tcPr>
          <w:p>
            <w:pPr>
              <w:spacing w:line="320" w:lineRule="exact"/>
              <w:jc w:val="center"/>
              <w:rPr>
                <w:rFonts w:hint="eastAsia" w:ascii="微软雅黑" w:hAnsi="微软雅黑" w:eastAsia="微软雅黑" w:cs="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成人脱产在校生</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rPr>
            </w:pPr>
            <w:r>
              <w:rPr>
                <w:rFonts w:hint="eastAsia" w:ascii="微软雅黑" w:hAnsi="微软雅黑" w:eastAsia="微软雅黑"/>
                <w:szCs w:val="21"/>
              </w:rPr>
              <w:t>继续教育与社会培训学院</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6.</w:t>
            </w:r>
            <w:r>
              <w:rPr>
                <w:rFonts w:hint="eastAsia" w:ascii="微软雅黑" w:hAnsi="微软雅黑" w:eastAsia="微软雅黑"/>
                <w:szCs w:val="21"/>
              </w:rPr>
              <w:t>成人业余在校生数</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rPr>
            </w:pPr>
            <w:r>
              <w:rPr>
                <w:rFonts w:hint="eastAsia" w:ascii="微软雅黑" w:hAnsi="微软雅黑" w:eastAsia="微软雅黑"/>
                <w:szCs w:val="21"/>
              </w:rPr>
              <w:t>继续教育与社会培训学院</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7.</w:t>
            </w:r>
            <w:r>
              <w:rPr>
                <w:rFonts w:hint="eastAsia" w:ascii="微软雅黑" w:hAnsi="微软雅黑" w:eastAsia="微软雅黑"/>
                <w:szCs w:val="21"/>
              </w:rPr>
              <w:t>成人函授在校生数</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rPr>
            </w:pPr>
            <w:r>
              <w:rPr>
                <w:rFonts w:hint="eastAsia" w:ascii="微软雅黑" w:hAnsi="微软雅黑" w:eastAsia="微软雅黑"/>
                <w:szCs w:val="21"/>
              </w:rPr>
              <w:t>继续教育与社会培训学院</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附设中职班在校生</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rPr>
            </w:pPr>
            <w:r>
              <w:rPr>
                <w:rFonts w:hint="eastAsia" w:ascii="微软雅黑" w:hAnsi="微软雅黑" w:eastAsia="微软雅黑"/>
                <w:szCs w:val="21"/>
              </w:rPr>
              <w:t>继续教育与社会培训学院</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4" w:type="dxa"/>
            <w:vMerge w:val="restart"/>
            <w:noWrap/>
            <w:vAlign w:val="center"/>
          </w:tcPr>
          <w:p>
            <w:pPr>
              <w:spacing w:line="320" w:lineRule="exact"/>
              <w:jc w:val="center"/>
              <w:rPr>
                <w:rFonts w:ascii="微软雅黑" w:hAnsi="微软雅黑" w:eastAsia="微软雅黑"/>
                <w:sz w:val="24"/>
                <w:szCs w:val="24"/>
              </w:rPr>
            </w:pPr>
            <w:r>
              <w:rPr>
                <w:rFonts w:hint="eastAsia" w:ascii="微软雅黑" w:hAnsi="微软雅黑" w:eastAsia="微软雅黑"/>
                <w:sz w:val="24"/>
                <w:szCs w:val="24"/>
              </w:rPr>
              <w:t>师资队伍</w:t>
            </w: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专任教师</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组织人事处</w:t>
            </w:r>
          </w:p>
        </w:tc>
        <w:tc>
          <w:tcPr>
            <w:tcW w:w="3300" w:type="dxa"/>
            <w:vMerge w:val="restart"/>
            <w:vAlign w:val="center"/>
          </w:tcPr>
          <w:p>
            <w:pPr>
              <w:spacing w:line="320" w:lineRule="exact"/>
              <w:jc w:val="left"/>
              <w:rPr>
                <w:rFonts w:hint="eastAsia" w:ascii="微软雅黑" w:hAnsi="微软雅黑" w:eastAsia="微软雅黑"/>
                <w:szCs w:val="21"/>
              </w:rPr>
            </w:pPr>
            <w:r>
              <w:rPr>
                <w:rFonts w:hint="eastAsia" w:ascii="微软雅黑" w:hAnsi="微软雅黑" w:eastAsia="微软雅黑"/>
                <w:szCs w:val="21"/>
              </w:rPr>
              <w:t>提供教师花名册、工资发放表、授课情况等能证明专任教师、校外教师、行业导师、外籍教师数量的资料。教师花名册、工资发放表、授课情况等资料按专任教师、校外教师、行业导师、外籍教师分类反映并保持人员顺序一致，方便专家核查。</w:t>
            </w:r>
          </w:p>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具有研究生学位专任教师</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组织人事处</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校外教师数</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组织人事处</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行业导师</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组织人事处</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外籍教师</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rPr>
              <w:t>组织人事处</w:t>
            </w:r>
          </w:p>
        </w:tc>
        <w:tc>
          <w:tcPr>
            <w:tcW w:w="3300" w:type="dxa"/>
            <w:vMerge w:val="continue"/>
            <w:vAlign w:val="center"/>
          </w:tcPr>
          <w:p>
            <w:pPr>
              <w:spacing w:line="320" w:lineRule="exact"/>
              <w:jc w:val="center"/>
              <w:rPr>
                <w:rFonts w:hint="eastAsia"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exact"/>
          <w:jc w:val="center"/>
        </w:trPr>
        <w:tc>
          <w:tcPr>
            <w:tcW w:w="2314" w:type="dxa"/>
            <w:vMerge w:val="restart"/>
            <w:noWrap/>
            <w:vAlign w:val="center"/>
          </w:tcPr>
          <w:p>
            <w:pPr>
              <w:spacing w:line="320" w:lineRule="exact"/>
              <w:jc w:val="center"/>
              <w:rPr>
                <w:rFonts w:ascii="微软雅黑" w:hAnsi="微软雅黑" w:eastAsia="微软雅黑"/>
                <w:sz w:val="24"/>
                <w:szCs w:val="24"/>
              </w:rPr>
            </w:pPr>
            <w:r>
              <w:rPr>
                <w:rFonts w:hint="eastAsia" w:ascii="微软雅黑" w:hAnsi="微软雅黑" w:eastAsia="微软雅黑"/>
                <w:sz w:val="24"/>
                <w:szCs w:val="24"/>
              </w:rPr>
              <w:t>教学行政用房</w:t>
            </w:r>
          </w:p>
        </w:tc>
        <w:tc>
          <w:tcPr>
            <w:tcW w:w="3641" w:type="dxa"/>
            <w:noWrap/>
            <w:vAlign w:val="center"/>
          </w:tcPr>
          <w:p>
            <w:pPr>
              <w:spacing w:line="320" w:lineRule="exac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1.教学科研及辅助用房</w:t>
            </w:r>
          </w:p>
        </w:tc>
        <w:tc>
          <w:tcPr>
            <w:tcW w:w="3118" w:type="dxa"/>
            <w:vAlign w:val="center"/>
          </w:tcPr>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国有资产管理办公室</w:t>
            </w:r>
          </w:p>
          <w:p>
            <w:pPr>
              <w:spacing w:line="32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后勤管理处</w:t>
            </w:r>
          </w:p>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教务处</w:t>
            </w:r>
          </w:p>
          <w:p>
            <w:pPr>
              <w:spacing w:line="32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科研与校企合作处</w:t>
            </w:r>
          </w:p>
        </w:tc>
        <w:tc>
          <w:tcPr>
            <w:tcW w:w="3300" w:type="dxa"/>
            <w:vAlign w:val="center"/>
          </w:tcPr>
          <w:p>
            <w:pPr>
              <w:spacing w:line="320" w:lineRule="exact"/>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提供教学科研及辅助用房和行政用房清单（按单体进行统计）、不动产权(房产)证、建筑规划图、施工许可证、施工合同、固定资产表、建筑物竣工验收相关材料等能够证明教学科研及辅助用房和行政用房建筑面积的资料。</w:t>
            </w:r>
          </w:p>
          <w:p>
            <w:pPr>
              <w:spacing w:line="320" w:lineRule="exact"/>
              <w:jc w:val="center"/>
              <w:rPr>
                <w:rFonts w:hint="eastAsia"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2.行政用房</w:t>
            </w:r>
          </w:p>
        </w:tc>
        <w:tc>
          <w:tcPr>
            <w:tcW w:w="3118" w:type="dxa"/>
            <w:vAlign w:val="center"/>
          </w:tcPr>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国有资产管理办公室</w:t>
            </w:r>
          </w:p>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后勤管理处</w:t>
            </w:r>
          </w:p>
          <w:p>
            <w:pPr>
              <w:spacing w:line="32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办公室</w:t>
            </w:r>
          </w:p>
        </w:tc>
        <w:tc>
          <w:tcPr>
            <w:tcW w:w="3300" w:type="dxa"/>
            <w:vAlign w:val="center"/>
          </w:tcPr>
          <w:p>
            <w:pPr>
              <w:spacing w:line="320" w:lineRule="exact"/>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教学科研及辅助用房按教室、图书馆、实验室、实习场所、专用科研用房、体育馆、会堂等分类；行政用房按校行政办公用房和学院办公用房分类。校行政办公用房包括校级党政办公室、会议室、校史室、档案室、文印室、广播室、接待室、网络中心、财务结算中心。</w:t>
            </w:r>
          </w:p>
          <w:p>
            <w:pPr>
              <w:spacing w:line="320" w:lineRule="exact"/>
              <w:jc w:val="center"/>
              <w:rPr>
                <w:rFonts w:hint="eastAsia"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314" w:type="dxa"/>
            <w:vMerge w:val="restart"/>
            <w:noWrap/>
            <w:vAlign w:val="center"/>
          </w:tcPr>
          <w:p>
            <w:pPr>
              <w:spacing w:line="320" w:lineRule="exact"/>
              <w:jc w:val="center"/>
              <w:rPr>
                <w:rFonts w:ascii="微软雅黑" w:hAnsi="微软雅黑" w:eastAsia="微软雅黑"/>
                <w:sz w:val="24"/>
                <w:szCs w:val="24"/>
              </w:rPr>
            </w:pPr>
            <w:r>
              <w:rPr>
                <w:rFonts w:hint="eastAsia" w:ascii="微软雅黑" w:hAnsi="微软雅黑" w:eastAsia="微软雅黑"/>
                <w:sz w:val="24"/>
                <w:szCs w:val="24"/>
              </w:rPr>
              <w:t>教学科研仪器设备</w:t>
            </w: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专业设备</w:t>
            </w:r>
          </w:p>
        </w:tc>
        <w:tc>
          <w:tcPr>
            <w:tcW w:w="3118" w:type="dxa"/>
            <w:vAlign w:val="center"/>
          </w:tcPr>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教务处</w:t>
            </w:r>
          </w:p>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国有资产管理办公室</w:t>
            </w:r>
          </w:p>
          <w:p>
            <w:pPr>
              <w:spacing w:line="32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财务处</w:t>
            </w:r>
          </w:p>
        </w:tc>
        <w:tc>
          <w:tcPr>
            <w:tcW w:w="3300" w:type="dxa"/>
            <w:vMerge w:val="restart"/>
            <w:vAlign w:val="center"/>
          </w:tcPr>
          <w:p>
            <w:pPr>
              <w:spacing w:line="320" w:lineRule="exact"/>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提供仪器设备值清单、资产管理系统截图等能够证明仪器设备值的资料。</w:t>
            </w:r>
          </w:p>
          <w:p>
            <w:pPr>
              <w:spacing w:line="320" w:lineRule="exact"/>
              <w:jc w:val="center"/>
              <w:rPr>
                <w:rFonts w:hint="eastAsia"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jc w:val="center"/>
        </w:trPr>
        <w:tc>
          <w:tcPr>
            <w:tcW w:w="2314" w:type="dxa"/>
            <w:vMerge w:val="continue"/>
            <w:noWrap/>
            <w:vAlign w:val="center"/>
          </w:tcPr>
          <w:p>
            <w:pPr>
              <w:spacing w:line="320" w:lineRule="exact"/>
              <w:jc w:val="center"/>
              <w:rPr>
                <w:rFonts w:ascii="微软雅黑" w:hAnsi="微软雅黑" w:eastAsia="微软雅黑"/>
                <w:sz w:val="24"/>
                <w:szCs w:val="24"/>
              </w:rPr>
            </w:pPr>
          </w:p>
        </w:tc>
        <w:tc>
          <w:tcPr>
            <w:tcW w:w="3641" w:type="dxa"/>
            <w:noWrap/>
            <w:vAlign w:val="center"/>
          </w:tcPr>
          <w:p>
            <w:pPr>
              <w:spacing w:line="320" w:lineRule="exact"/>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通用设备</w:t>
            </w:r>
          </w:p>
        </w:tc>
        <w:tc>
          <w:tcPr>
            <w:tcW w:w="3118" w:type="dxa"/>
            <w:vAlign w:val="center"/>
          </w:tcPr>
          <w:p>
            <w:pPr>
              <w:spacing w:line="320" w:lineRule="exact"/>
              <w:jc w:val="center"/>
              <w:rPr>
                <w:rFonts w:hint="eastAsia" w:ascii="微软雅黑" w:hAnsi="微软雅黑" w:eastAsia="微软雅黑"/>
                <w:szCs w:val="21"/>
              </w:rPr>
            </w:pPr>
            <w:r>
              <w:rPr>
                <w:rFonts w:hint="eastAsia" w:ascii="微软雅黑" w:hAnsi="微软雅黑" w:eastAsia="微软雅黑"/>
                <w:szCs w:val="21"/>
              </w:rPr>
              <w:t>教务处</w:t>
            </w:r>
          </w:p>
          <w:p>
            <w:pPr>
              <w:spacing w:line="320" w:lineRule="exact"/>
              <w:jc w:val="center"/>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国有资产管理办公室</w:t>
            </w:r>
          </w:p>
          <w:p>
            <w:pPr>
              <w:spacing w:line="320" w:lineRule="exact"/>
              <w:jc w:val="center"/>
              <w:rPr>
                <w:rFonts w:hint="eastAsia" w:ascii="微软雅黑" w:hAnsi="微软雅黑" w:eastAsia="微软雅黑"/>
                <w:szCs w:val="21"/>
              </w:rPr>
            </w:pPr>
            <w:r>
              <w:rPr>
                <w:rFonts w:hint="eastAsia" w:ascii="微软雅黑" w:hAnsi="微软雅黑" w:eastAsia="微软雅黑"/>
                <w:szCs w:val="21"/>
                <w:lang w:val="en-US" w:eastAsia="zh-CN"/>
              </w:rPr>
              <w:t>财务处</w:t>
            </w:r>
          </w:p>
        </w:tc>
        <w:tc>
          <w:tcPr>
            <w:tcW w:w="3300" w:type="dxa"/>
            <w:vMerge w:val="continue"/>
            <w:vAlign w:val="center"/>
          </w:tcPr>
          <w:p>
            <w:pPr>
              <w:spacing w:line="320" w:lineRule="exact"/>
              <w:jc w:val="center"/>
              <w:rPr>
                <w:rFonts w:hint="eastAsia"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2314" w:type="dxa"/>
            <w:vMerge w:val="restart"/>
            <w:noWrap/>
            <w:vAlign w:val="center"/>
          </w:tcPr>
          <w:p>
            <w:pPr>
              <w:spacing w:line="320" w:lineRule="exact"/>
              <w:jc w:val="center"/>
              <w:rPr>
                <w:rFonts w:ascii="微软雅黑" w:hAnsi="微软雅黑" w:eastAsia="微软雅黑"/>
                <w:sz w:val="24"/>
                <w:szCs w:val="24"/>
              </w:rPr>
            </w:pPr>
            <w:r>
              <w:rPr>
                <w:rFonts w:hint="eastAsia" w:ascii="微软雅黑" w:hAnsi="微软雅黑" w:eastAsia="微软雅黑"/>
                <w:sz w:val="24"/>
                <w:szCs w:val="24"/>
              </w:rPr>
              <w:t>图书</w:t>
            </w:r>
          </w:p>
        </w:tc>
        <w:tc>
          <w:tcPr>
            <w:tcW w:w="3641" w:type="dxa"/>
            <w:noWrap/>
            <w:vAlign w:val="center"/>
          </w:tcPr>
          <w:p>
            <w:pPr>
              <w:spacing w:line="320" w:lineRule="exac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1.纸质图书</w:t>
            </w:r>
          </w:p>
        </w:tc>
        <w:tc>
          <w:tcPr>
            <w:tcW w:w="3118" w:type="dxa"/>
            <w:vAlign w:val="center"/>
          </w:tcPr>
          <w:p>
            <w:pPr>
              <w:spacing w:line="320" w:lineRule="exact"/>
              <w:jc w:val="center"/>
              <w:rPr>
                <w:rFonts w:hint="eastAsia" w:ascii="微软雅黑" w:hAnsi="微软雅黑" w:eastAsia="微软雅黑"/>
                <w:szCs w:val="21"/>
                <w:lang w:eastAsia="zh-CN"/>
              </w:rPr>
            </w:pPr>
            <w:r>
              <w:rPr>
                <w:rFonts w:hint="eastAsia" w:ascii="微软雅黑" w:hAnsi="微软雅黑" w:eastAsia="微软雅黑"/>
                <w:szCs w:val="21"/>
                <w:lang w:val="en-US" w:eastAsia="zh-CN"/>
              </w:rPr>
              <w:t>图书馆</w:t>
            </w:r>
          </w:p>
        </w:tc>
        <w:tc>
          <w:tcPr>
            <w:tcW w:w="3300" w:type="dxa"/>
            <w:vMerge w:val="restart"/>
            <w:vAlign w:val="center"/>
          </w:tcPr>
          <w:p>
            <w:pPr>
              <w:spacing w:line="320" w:lineRule="exact"/>
              <w:jc w:val="left"/>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提供纸质和电子图书馆藏系统截图。</w:t>
            </w:r>
          </w:p>
          <w:p>
            <w:pPr>
              <w:spacing w:line="320" w:lineRule="exact"/>
              <w:jc w:val="left"/>
              <w:rPr>
                <w:rFonts w:hint="eastAsia" w:ascii="微软雅黑" w:hAnsi="微软雅黑" w:eastAsia="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2314" w:type="dxa"/>
            <w:vMerge w:val="continue"/>
            <w:noWrap/>
            <w:vAlign w:val="center"/>
          </w:tcPr>
          <w:p>
            <w:pPr>
              <w:spacing w:line="320" w:lineRule="exact"/>
              <w:jc w:val="left"/>
              <w:rPr>
                <w:rFonts w:ascii="微软雅黑" w:hAnsi="微软雅黑" w:eastAsia="微软雅黑"/>
                <w:szCs w:val="21"/>
              </w:rPr>
            </w:pPr>
          </w:p>
        </w:tc>
        <w:tc>
          <w:tcPr>
            <w:tcW w:w="3641" w:type="dxa"/>
            <w:noWrap/>
            <w:vAlign w:val="center"/>
          </w:tcPr>
          <w:p>
            <w:pPr>
              <w:spacing w:line="320" w:lineRule="exact"/>
              <w:rPr>
                <w:rFonts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数字资源</w:t>
            </w:r>
          </w:p>
        </w:tc>
        <w:tc>
          <w:tcPr>
            <w:tcW w:w="3118" w:type="dxa"/>
            <w:vAlign w:val="center"/>
          </w:tcPr>
          <w:p>
            <w:pPr>
              <w:spacing w:line="320" w:lineRule="exact"/>
              <w:jc w:val="center"/>
              <w:rPr>
                <w:rFonts w:ascii="微软雅黑" w:hAnsi="微软雅黑" w:eastAsia="微软雅黑"/>
                <w:szCs w:val="21"/>
              </w:rPr>
            </w:pPr>
            <w:r>
              <w:rPr>
                <w:rFonts w:hint="eastAsia" w:ascii="微软雅黑" w:hAnsi="微软雅黑" w:eastAsia="微软雅黑"/>
                <w:szCs w:val="21"/>
                <w:lang w:val="en-US" w:eastAsia="zh-CN"/>
              </w:rPr>
              <w:t>图书馆</w:t>
            </w:r>
          </w:p>
        </w:tc>
        <w:tc>
          <w:tcPr>
            <w:tcW w:w="3300" w:type="dxa"/>
            <w:vMerge w:val="continue"/>
            <w:vAlign w:val="center"/>
          </w:tcPr>
          <w:p>
            <w:pPr>
              <w:spacing w:line="320" w:lineRule="exact"/>
              <w:jc w:val="center"/>
              <w:rPr>
                <w:rFonts w:hint="eastAsia" w:ascii="微软雅黑" w:hAnsi="微软雅黑" w:eastAsia="微软雅黑"/>
                <w:szCs w:val="21"/>
                <w:lang w:val="en-US" w:eastAsia="zh-CN"/>
              </w:rPr>
            </w:pPr>
          </w:p>
        </w:tc>
      </w:tr>
    </w:tbl>
    <w:p>
      <w:pPr>
        <w:spacing w:line="320" w:lineRule="exact"/>
        <w:jc w:val="left"/>
        <w:rPr>
          <w:rFonts w:hint="eastAsia" w:ascii="微软雅黑" w:hAnsi="微软雅黑" w:eastAsia="微软雅黑"/>
          <w:sz w:val="24"/>
          <w:szCs w:val="24"/>
          <w:lang w:val="en-US" w:eastAsia="zh-CN"/>
        </w:rPr>
      </w:pPr>
    </w:p>
    <w:p>
      <w:pPr>
        <w:spacing w:line="320" w:lineRule="exact"/>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备注：1.排在第一位的责任部门为牵头单位，负责汇总所有材料；</w:t>
      </w:r>
    </w:p>
    <w:p>
      <w:pPr>
        <w:spacing w:line="320" w:lineRule="exact"/>
        <w:ind w:firstLine="720" w:firstLineChars="300"/>
        <w:jc w:val="lef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2.如填报数据与反馈指标值不一致，需编制增（减）量数据支撑材料。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00951FEE"/>
    <w:rsid w:val="020236B3"/>
    <w:rsid w:val="04A3117E"/>
    <w:rsid w:val="059E7B97"/>
    <w:rsid w:val="06652463"/>
    <w:rsid w:val="0E2715C7"/>
    <w:rsid w:val="0E3F3599"/>
    <w:rsid w:val="10B84700"/>
    <w:rsid w:val="142C526D"/>
    <w:rsid w:val="15EA07EF"/>
    <w:rsid w:val="172D2B29"/>
    <w:rsid w:val="174269D7"/>
    <w:rsid w:val="17DF606D"/>
    <w:rsid w:val="18736C61"/>
    <w:rsid w:val="1B4C1DF3"/>
    <w:rsid w:val="1C290EAA"/>
    <w:rsid w:val="1D1722B1"/>
    <w:rsid w:val="1D7D419F"/>
    <w:rsid w:val="20360CA0"/>
    <w:rsid w:val="254333B0"/>
    <w:rsid w:val="2E1D196D"/>
    <w:rsid w:val="2E4E0CE7"/>
    <w:rsid w:val="3739720A"/>
    <w:rsid w:val="37D91856"/>
    <w:rsid w:val="3C677A85"/>
    <w:rsid w:val="3CB52AF5"/>
    <w:rsid w:val="3DD12BDE"/>
    <w:rsid w:val="3FC93B7C"/>
    <w:rsid w:val="46081EE8"/>
    <w:rsid w:val="49497247"/>
    <w:rsid w:val="4B33076B"/>
    <w:rsid w:val="4DFB2056"/>
    <w:rsid w:val="4F6603AB"/>
    <w:rsid w:val="4FD07D9F"/>
    <w:rsid w:val="506765BF"/>
    <w:rsid w:val="58A12453"/>
    <w:rsid w:val="5D3F223B"/>
    <w:rsid w:val="5E187BEF"/>
    <w:rsid w:val="5F9F1AF5"/>
    <w:rsid w:val="6131633F"/>
    <w:rsid w:val="616109D2"/>
    <w:rsid w:val="623742A7"/>
    <w:rsid w:val="6D050DAB"/>
    <w:rsid w:val="6D282002"/>
    <w:rsid w:val="6E0C6169"/>
    <w:rsid w:val="6F800BBD"/>
    <w:rsid w:val="701C22BD"/>
    <w:rsid w:val="7228352D"/>
    <w:rsid w:val="765F53B7"/>
    <w:rsid w:val="76CA0763"/>
    <w:rsid w:val="774249AA"/>
    <w:rsid w:val="777B210A"/>
    <w:rsid w:val="78874D6A"/>
    <w:rsid w:val="7B607AF4"/>
    <w:rsid w:val="7B7F61CD"/>
    <w:rsid w:val="7D641E37"/>
    <w:rsid w:val="7DCE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line="560" w:lineRule="exact"/>
      <w:ind w:firstLine="880" w:firstLineChars="200"/>
    </w:pPr>
    <w:rPr>
      <w:rFonts w:ascii="等线" w:hAnsi="等线" w:eastAsia="仿宋_GB2312" w:cs="等线"/>
      <w:sz w:val="32"/>
      <w:szCs w:val="32"/>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方正小标宋简体" w:hAnsi="Times New Roman" w:eastAsia="方正小标宋简体" w:cs="方正小标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2023-05-31T09:17:00Z</dcterms:created>
  <dc:creator>Ghost</dc:creator>
  <cp:lastModifiedBy>yinxx</cp:lastModifiedBy>
  <dcterms:modified xsi:type="dcterms:W3CDTF">2023-11-15T02:53:06Z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5231B326DC3741E1833D4E901DD92318_12</vt:lpwstr>
  </property>
</Properties>
</file>