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ind w:firstLine="0" w:firstLineChars="0"/>
        <w:jc w:val="center"/>
        <w:outlineLvl w:val="0"/>
        <w:rPr>
          <w:rFonts w:ascii="宋体" w:hAnsi="宋体" w:eastAsia="宋体" w:cs="宋体"/>
          <w:b/>
          <w:color w:val="000000" w:themeColor="text1"/>
          <w:sz w:val="48"/>
          <w:szCs w:val="48"/>
          <w14:textFill>
            <w14:solidFill>
              <w14:schemeClr w14:val="tx1"/>
            </w14:solidFill>
          </w14:textFill>
        </w:rPr>
      </w:pPr>
      <w:bookmarkStart w:id="0" w:name="_Toc31141"/>
      <w:bookmarkStart w:id="1" w:name="_Toc141449055"/>
      <w:bookmarkStart w:id="2" w:name="_Toc7187"/>
      <w:bookmarkStart w:id="11" w:name="_GoBack"/>
      <w:r>
        <w:rPr>
          <w:rFonts w:hint="eastAsia" w:ascii="宋体" w:hAnsi="宋体" w:eastAsia="宋体" w:cs="宋体"/>
          <w:b/>
          <w:color w:val="000000" w:themeColor="text1"/>
          <w:sz w:val="48"/>
          <w:szCs w:val="48"/>
          <w14:textFill>
            <w14:solidFill>
              <w14:schemeClr w14:val="tx1"/>
            </w14:solidFill>
          </w14:textFill>
        </w:rPr>
        <w:t>安徽省专业技术人员综合管理服务平台</w:t>
      </w:r>
      <w:bookmarkEnd w:id="0"/>
      <w:bookmarkEnd w:id="1"/>
      <w:bookmarkEnd w:id="2"/>
    </w:p>
    <w:p>
      <w:pPr>
        <w:spacing w:before="156" w:beforeLines="50" w:after="156" w:afterLines="50"/>
        <w:ind w:firstLine="0" w:firstLineChars="0"/>
        <w:jc w:val="center"/>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——学术和技术带头人操作手册</w:t>
      </w:r>
    </w:p>
    <w:p>
      <w:pPr>
        <w:spacing w:before="156" w:beforeLines="50" w:after="156" w:afterLines="50"/>
        <w:ind w:firstLine="0" w:firstLineChars="0"/>
        <w:jc w:val="center"/>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（申报个人）</w:t>
      </w:r>
    </w:p>
    <w:p>
      <w:pPr>
        <w:spacing w:before="156" w:beforeLines="50" w:after="156" w:afterLines="50"/>
        <w:ind w:firstLine="0"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198120</wp:posOffset>
                </wp:positionV>
                <wp:extent cx="5400675" cy="0"/>
                <wp:effectExtent l="0" t="28575" r="9525" b="34925"/>
                <wp:wrapNone/>
                <wp:docPr id="12" name="直接连接符 12"/>
                <wp:cNvGraphicFramePr/>
                <a:graphic xmlns:a="http://schemas.openxmlformats.org/drawingml/2006/main">
                  <a:graphicData uri="http://schemas.microsoft.com/office/word/2010/wordprocessingShape">
                    <wps:wsp>
                      <wps:cNvCnPr/>
                      <wps:spPr>
                        <a:xfrm>
                          <a:off x="0" y="0"/>
                          <a:ext cx="5400675"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15.6pt;height:0pt;width:425.25pt;z-index:251661312;mso-width-relative:page;mso-height-relative:page;" filled="f" stroked="t" coordsize="21600,21600" o:gfxdata="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s9cRQ2QAAAAgBAAAPAAAAAAAAAAEAIAAAADgAAABkcnMvZG93bnJldi54bWxQSwECFAAUAAAA&#10;CACHTuJAqC8eOtcBAACTAwAADgAAAAAAAAABACAAAAA+AQAAZHJzL2Uyb0RvYy54bWxQSwUGAAAA&#10;AAYABgBZAQAAhwUAAAAA&#10;">
                <v:fill on="f" focussize="0,0"/>
                <v:stroke weight="4.5pt" color="#000000" linestyle="thinThick" joinstyle="round"/>
                <v:imagedata o:title=""/>
                <o:lock v:ext="edit" aspectratio="f"/>
              </v:line>
            </w:pict>
          </mc:Fallback>
        </mc:AlternateContent>
      </w:r>
    </w:p>
    <w:p>
      <w:pPr>
        <w:spacing w:before="156" w:beforeLines="50" w:after="156" w:afterLines="50"/>
        <w:ind w:firstLine="361" w:firstLineChars="15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 xml:space="preserve"> </w:t>
      </w: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360" w:firstLineChars="150"/>
        <w:rPr>
          <w:rFonts w:ascii="仿宋" w:hAnsi="仿宋" w:eastAsia="仿宋" w:cs="仿宋"/>
          <w:color w:val="000000" w:themeColor="text1"/>
          <w14:textFill>
            <w14:solidFill>
              <w14:schemeClr w14:val="tx1"/>
            </w14:solidFill>
          </w14:textFill>
        </w:rPr>
      </w:pPr>
    </w:p>
    <w:p>
      <w:pPr>
        <w:spacing w:before="156" w:beforeLines="50" w:after="156" w:afterLines="50"/>
        <w:ind w:firstLine="0" w:firstLineChars="0"/>
        <w:rPr>
          <w:rFonts w:ascii="仿宋" w:hAnsi="仿宋" w:eastAsia="仿宋" w:cs="仿宋"/>
          <w:color w:val="000000" w:themeColor="text1"/>
          <w14:textFill>
            <w14:solidFill>
              <w14:schemeClr w14:val="tx1"/>
            </w14:solidFill>
          </w14:textFill>
        </w:rPr>
      </w:pPr>
    </w:p>
    <w:p>
      <w:pPr>
        <w:spacing w:before="156" w:beforeLines="50" w:after="156" w:afterLines="50"/>
        <w:ind w:firstLine="481" w:firstLineChars="150"/>
        <w:jc w:val="center"/>
        <w:rPr>
          <w:rFonts w:ascii="仿宋" w:hAnsi="仿宋" w:eastAsia="仿宋" w:cs="仿宋"/>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安徽省人力资源和社会保障厅</w:t>
      </w:r>
    </w:p>
    <w:p>
      <w:pPr>
        <w:spacing w:before="156" w:beforeLines="50" w:after="156" w:afterLines="50"/>
        <w:ind w:firstLine="481" w:firstLineChars="150"/>
        <w:jc w:val="center"/>
        <w:rPr>
          <w:rFonts w:ascii="宋体" w:hAnsi="宋体" w:eastAsia="宋体" w:cs="宋体"/>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hint="eastAsia" w:ascii="宋体" w:hAnsi="宋体" w:eastAsia="宋体" w:cs="宋体"/>
          <w:b/>
          <w:color w:val="000000" w:themeColor="text1"/>
          <w:sz w:val="32"/>
          <w:szCs w:val="32"/>
          <w14:textFill>
            <w14:solidFill>
              <w14:schemeClr w14:val="tx1"/>
            </w14:solidFill>
          </w14:textFill>
        </w:rPr>
        <w:t>2023年07月</w:t>
      </w:r>
    </w:p>
    <w:sdt>
      <w:sdtPr>
        <w:rPr>
          <w:rFonts w:ascii="宋体" w:hAnsi="宋体" w:eastAsia="宋体"/>
          <w:sz w:val="21"/>
        </w:rPr>
        <w:id w:val="147481909"/>
        <w15:color w:val="DBDBDB"/>
        <w:docPartObj>
          <w:docPartGallery w:val="Table of Contents"/>
          <w:docPartUnique/>
        </w:docPartObj>
      </w:sdtPr>
      <w:sdtEndPr>
        <w:rPr>
          <w:rFonts w:hint="eastAsia" w:ascii="仿宋" w:hAnsi="仿宋" w:eastAsia="仿宋" w:cs="仿宋"/>
          <w:sz w:val="21"/>
        </w:rPr>
      </w:sdtEndPr>
      <w:sdtContent>
        <w:p>
          <w:pPr>
            <w:spacing w:before="0" w:after="0" w:line="240" w:lineRule="auto"/>
            <w:ind w:firstLine="0" w:firstLineChars="0"/>
            <w:jc w:val="cente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目录</w:t>
          </w:r>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fldChar w:fldCharType="begin"/>
          </w:r>
          <w:r>
            <w:instrText xml:space="preserve"> HYPERLINK \l "_Toc141449055" </w:instrText>
          </w:r>
          <w:r>
            <w:fldChar w:fldCharType="separate"/>
          </w:r>
          <w:r>
            <w:fldChar w:fldCharType="end"/>
          </w:r>
        </w:p>
        <w:p>
          <w:pPr>
            <w:pStyle w:val="14"/>
            <w:tabs>
              <w:tab w:val="right" w:leader="dot" w:pos="8747"/>
            </w:tabs>
            <w:ind w:firstLine="480"/>
            <w:rPr>
              <w:sz w:val="21"/>
              <w:szCs w:val="22"/>
            </w:rPr>
          </w:pPr>
          <w:r>
            <w:fldChar w:fldCharType="begin"/>
          </w:r>
          <w:r>
            <w:instrText xml:space="preserve"> HYPERLINK \l "_Toc141449056" </w:instrText>
          </w:r>
          <w:r>
            <w:fldChar w:fldCharType="separate"/>
          </w:r>
          <w:r>
            <w:rPr>
              <w:rStyle w:val="20"/>
            </w:rPr>
            <w:t>一、注册登录</w:t>
          </w:r>
          <w:r>
            <w:tab/>
          </w:r>
          <w:r>
            <w:fldChar w:fldCharType="begin"/>
          </w:r>
          <w:r>
            <w:instrText xml:space="preserve"> PAGEREF _Toc141449056 \h </w:instrText>
          </w:r>
          <w:r>
            <w:fldChar w:fldCharType="separate"/>
          </w:r>
          <w:r>
            <w:t>2</w:t>
          </w:r>
          <w:r>
            <w:fldChar w:fldCharType="end"/>
          </w:r>
          <w:r>
            <w:fldChar w:fldCharType="end"/>
          </w:r>
        </w:p>
        <w:p>
          <w:pPr>
            <w:pStyle w:val="14"/>
            <w:tabs>
              <w:tab w:val="right" w:leader="dot" w:pos="8747"/>
            </w:tabs>
            <w:ind w:firstLine="480"/>
            <w:rPr>
              <w:sz w:val="21"/>
              <w:szCs w:val="22"/>
            </w:rPr>
          </w:pPr>
          <w:r>
            <w:fldChar w:fldCharType="begin"/>
          </w:r>
          <w:r>
            <w:instrText xml:space="preserve"> HYPERLINK \l "_Toc141449057" </w:instrText>
          </w:r>
          <w:r>
            <w:fldChar w:fldCharType="separate"/>
          </w:r>
          <w:r>
            <w:rPr>
              <w:rStyle w:val="20"/>
            </w:rPr>
            <w:t>二、学术和技术带头人</w:t>
          </w:r>
          <w:r>
            <w:tab/>
          </w:r>
          <w:r>
            <w:fldChar w:fldCharType="begin"/>
          </w:r>
          <w:r>
            <w:instrText xml:space="preserve"> PAGEREF _Toc141449057 \h </w:instrText>
          </w:r>
          <w:r>
            <w:fldChar w:fldCharType="separate"/>
          </w:r>
          <w:r>
            <w:t>6</w:t>
          </w:r>
          <w:r>
            <w:fldChar w:fldCharType="end"/>
          </w:r>
          <w:r>
            <w:fldChar w:fldCharType="end"/>
          </w:r>
        </w:p>
        <w:p>
          <w:pPr>
            <w:pStyle w:val="15"/>
            <w:tabs>
              <w:tab w:val="right" w:leader="dot" w:pos="8747"/>
            </w:tabs>
            <w:ind w:left="480" w:firstLine="480"/>
            <w:rPr>
              <w:sz w:val="21"/>
              <w:szCs w:val="22"/>
            </w:rPr>
          </w:pPr>
          <w:r>
            <w:fldChar w:fldCharType="begin"/>
          </w:r>
          <w:r>
            <w:instrText xml:space="preserve"> HYPERLINK \l "_Toc141449058" </w:instrText>
          </w:r>
          <w:r>
            <w:fldChar w:fldCharType="separate"/>
          </w:r>
          <w:r>
            <w:rPr>
              <w:rStyle w:val="20"/>
            </w:rPr>
            <w:t>（一） 页面展示</w:t>
          </w:r>
          <w:r>
            <w:tab/>
          </w:r>
          <w:r>
            <w:fldChar w:fldCharType="begin"/>
          </w:r>
          <w:r>
            <w:instrText xml:space="preserve"> PAGEREF _Toc141449058 \h </w:instrText>
          </w:r>
          <w:r>
            <w:fldChar w:fldCharType="separate"/>
          </w:r>
          <w:r>
            <w:t>7</w:t>
          </w:r>
          <w:r>
            <w:fldChar w:fldCharType="end"/>
          </w:r>
          <w:r>
            <w:fldChar w:fldCharType="end"/>
          </w:r>
        </w:p>
        <w:p>
          <w:pPr>
            <w:pStyle w:val="15"/>
            <w:tabs>
              <w:tab w:val="right" w:leader="dot" w:pos="8747"/>
            </w:tabs>
            <w:ind w:left="480" w:firstLine="480"/>
            <w:rPr>
              <w:sz w:val="21"/>
              <w:szCs w:val="22"/>
            </w:rPr>
          </w:pPr>
          <w:r>
            <w:fldChar w:fldCharType="begin"/>
          </w:r>
          <w:r>
            <w:instrText xml:space="preserve"> HYPERLINK \l "_Toc141449059" </w:instrText>
          </w:r>
          <w:r>
            <w:fldChar w:fldCharType="separate"/>
          </w:r>
          <w:r>
            <w:rPr>
              <w:rStyle w:val="20"/>
            </w:rPr>
            <w:t>（二） 申报流程</w:t>
          </w:r>
          <w:r>
            <w:tab/>
          </w:r>
          <w:r>
            <w:fldChar w:fldCharType="begin"/>
          </w:r>
          <w:r>
            <w:instrText xml:space="preserve"> PAGEREF _Toc141449059 \h </w:instrText>
          </w:r>
          <w:r>
            <w:fldChar w:fldCharType="separate"/>
          </w:r>
          <w:r>
            <w:t>8</w:t>
          </w:r>
          <w:r>
            <w:fldChar w:fldCharType="end"/>
          </w:r>
          <w:r>
            <w:fldChar w:fldCharType="end"/>
          </w:r>
        </w:p>
        <w:p>
          <w:pPr>
            <w:pStyle w:val="11"/>
            <w:tabs>
              <w:tab w:val="right" w:leader="dot" w:pos="8747"/>
            </w:tabs>
            <w:ind w:left="960" w:firstLine="480"/>
            <w:rPr>
              <w:sz w:val="21"/>
              <w:szCs w:val="22"/>
            </w:rPr>
          </w:pPr>
          <w:r>
            <w:fldChar w:fldCharType="begin"/>
          </w:r>
          <w:r>
            <w:instrText xml:space="preserve"> HYPERLINK \l "_Toc141449060" </w:instrText>
          </w:r>
          <w:r>
            <w:fldChar w:fldCharType="separate"/>
          </w:r>
          <w:r>
            <w:rPr>
              <w:rStyle w:val="20"/>
            </w:rPr>
            <w:t>1． 马上申报</w:t>
          </w:r>
          <w:r>
            <w:tab/>
          </w:r>
          <w:r>
            <w:fldChar w:fldCharType="begin"/>
          </w:r>
          <w:r>
            <w:instrText xml:space="preserve"> PAGEREF _Toc141449060 \h </w:instrText>
          </w:r>
          <w:r>
            <w:fldChar w:fldCharType="separate"/>
          </w:r>
          <w:r>
            <w:t>8</w:t>
          </w:r>
          <w:r>
            <w:fldChar w:fldCharType="end"/>
          </w:r>
          <w:r>
            <w:fldChar w:fldCharType="end"/>
          </w:r>
        </w:p>
        <w:p>
          <w:pPr>
            <w:pStyle w:val="11"/>
            <w:tabs>
              <w:tab w:val="right" w:leader="dot" w:pos="8747"/>
            </w:tabs>
            <w:ind w:left="960" w:firstLine="480"/>
            <w:rPr>
              <w:sz w:val="21"/>
              <w:szCs w:val="22"/>
            </w:rPr>
          </w:pPr>
          <w:r>
            <w:fldChar w:fldCharType="begin"/>
          </w:r>
          <w:r>
            <w:instrText xml:space="preserve"> HYPERLINK \l "_Toc141449061" </w:instrText>
          </w:r>
          <w:r>
            <w:fldChar w:fldCharType="separate"/>
          </w:r>
          <w:r>
            <w:rPr>
              <w:rStyle w:val="20"/>
            </w:rPr>
            <w:t>2． 诚信承诺书</w:t>
          </w:r>
          <w:r>
            <w:tab/>
          </w:r>
          <w:r>
            <w:fldChar w:fldCharType="begin"/>
          </w:r>
          <w:r>
            <w:instrText xml:space="preserve"> PAGEREF _Toc141449061 \h </w:instrText>
          </w:r>
          <w:r>
            <w:fldChar w:fldCharType="separate"/>
          </w:r>
          <w:r>
            <w:t>9</w:t>
          </w:r>
          <w:r>
            <w:fldChar w:fldCharType="end"/>
          </w:r>
          <w:r>
            <w:fldChar w:fldCharType="end"/>
          </w:r>
        </w:p>
        <w:p>
          <w:pPr>
            <w:pStyle w:val="11"/>
            <w:tabs>
              <w:tab w:val="right" w:leader="dot" w:pos="8747"/>
            </w:tabs>
            <w:ind w:left="960" w:firstLine="480"/>
            <w:rPr>
              <w:sz w:val="21"/>
              <w:szCs w:val="22"/>
            </w:rPr>
          </w:pPr>
          <w:r>
            <w:fldChar w:fldCharType="begin"/>
          </w:r>
          <w:r>
            <w:instrText xml:space="preserve"> HYPERLINK \l "_Toc141449062" </w:instrText>
          </w:r>
          <w:r>
            <w:fldChar w:fldCharType="separate"/>
          </w:r>
          <w:r>
            <w:rPr>
              <w:rStyle w:val="20"/>
            </w:rPr>
            <w:t>3． 填写申报信息</w:t>
          </w:r>
          <w:r>
            <w:tab/>
          </w:r>
          <w:r>
            <w:fldChar w:fldCharType="begin"/>
          </w:r>
          <w:r>
            <w:instrText xml:space="preserve"> PAGEREF _Toc141449062 \h </w:instrText>
          </w:r>
          <w:r>
            <w:fldChar w:fldCharType="separate"/>
          </w:r>
          <w:r>
            <w:t>10</w:t>
          </w:r>
          <w:r>
            <w:fldChar w:fldCharType="end"/>
          </w:r>
          <w:r>
            <w:fldChar w:fldCharType="end"/>
          </w:r>
        </w:p>
        <w:p>
          <w:pPr>
            <w:pStyle w:val="14"/>
            <w:tabs>
              <w:tab w:val="right" w:leader="dot" w:pos="8747"/>
            </w:tabs>
            <w:ind w:firstLine="480"/>
            <w:rPr>
              <w:sz w:val="21"/>
              <w:szCs w:val="22"/>
            </w:rPr>
          </w:pPr>
          <w:r>
            <w:fldChar w:fldCharType="begin"/>
          </w:r>
          <w:r>
            <w:instrText xml:space="preserve"> HYPERLINK \l "_Toc141449063" </w:instrText>
          </w:r>
          <w:r>
            <w:fldChar w:fldCharType="separate"/>
          </w:r>
          <w:r>
            <w:rPr>
              <w:rStyle w:val="20"/>
              <w:rFonts w:cs="Times New Roman"/>
              <w:bCs/>
            </w:rPr>
            <w:t>三、个人中心</w:t>
          </w:r>
          <w:r>
            <w:tab/>
          </w:r>
          <w:r>
            <w:fldChar w:fldCharType="begin"/>
          </w:r>
          <w:r>
            <w:instrText xml:space="preserve"> PAGEREF _Toc141449063 \h </w:instrText>
          </w:r>
          <w:r>
            <w:fldChar w:fldCharType="separate"/>
          </w:r>
          <w:r>
            <w:t>24</w:t>
          </w:r>
          <w:r>
            <w:fldChar w:fldCharType="end"/>
          </w:r>
          <w:r>
            <w:fldChar w:fldCharType="end"/>
          </w:r>
        </w:p>
        <w:p>
          <w:pPr>
            <w:pStyle w:val="24"/>
            <w:tabs>
              <w:tab w:val="right" w:leader="dot" w:pos="8306"/>
            </w:tabs>
            <w:ind w:left="0" w:leftChars="0"/>
            <w:rPr>
              <w:rFonts w:ascii="仿宋" w:hAnsi="仿宋" w:eastAsia="仿宋" w:cs="仿宋"/>
            </w:rPr>
          </w:pPr>
          <w:r>
            <w:rPr>
              <w:rFonts w:hint="eastAsia" w:ascii="仿宋" w:hAnsi="仿宋" w:eastAsia="仿宋" w:cs="仿宋"/>
            </w:rPr>
            <w:fldChar w:fldCharType="end"/>
          </w:r>
        </w:p>
      </w:sdtContent>
    </w:sdt>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4"/>
        <w:tabs>
          <w:tab w:val="right" w:leader="dot" w:pos="8306"/>
        </w:tabs>
        <w:ind w:left="0" w:leftChars="0"/>
        <w:rPr>
          <w:rFonts w:ascii="仿宋" w:hAnsi="仿宋" w:eastAsia="仿宋" w:cs="仿宋"/>
        </w:rPr>
      </w:pPr>
    </w:p>
    <w:p>
      <w:pPr>
        <w:pStyle w:val="2"/>
        <w:numPr>
          <w:ilvl w:val="0"/>
          <w:numId w:val="0"/>
        </w:numPr>
      </w:pPr>
      <w:bookmarkStart w:id="3" w:name="_Toc141449056"/>
      <w:r>
        <w:rPr>
          <w:rFonts w:hint="eastAsia"/>
        </w:rPr>
        <w:t>一、注册登录</w:t>
      </w:r>
      <w:bookmarkEnd w:id="3"/>
    </w:p>
    <w:p>
      <w:pPr>
        <w:ind w:firstLine="480"/>
        <w:rPr>
          <w:rFonts w:ascii="宋体" w:hAnsi="宋体" w:eastAsia="宋体" w:cs="宋体"/>
        </w:rPr>
      </w:pPr>
      <w:r>
        <w:rPr>
          <w:rFonts w:hint="eastAsia" w:ascii="宋体" w:hAnsi="宋体" w:eastAsia="宋体" w:cs="宋体"/>
        </w:rPr>
        <w:t>用户在浏览器中输入网址：http://hrss.ah.gov.cn/（</w:t>
      </w:r>
      <w:r>
        <w:rPr>
          <w:rFonts w:hint="eastAsia" w:ascii="宋体" w:hAnsi="宋体" w:eastAsia="宋体" w:cs="宋体"/>
          <w:b/>
          <w:bCs/>
        </w:rPr>
        <w:t>推荐使用谷歌浏览器或者360安全浏览器极速模式</w:t>
      </w:r>
      <w:r>
        <w:rPr>
          <w:rFonts w:hint="eastAsia" w:ascii="宋体" w:hAnsi="宋体" w:eastAsia="宋体" w:cs="宋体"/>
        </w:rPr>
        <w:t>），进入安徽省人力资源和社会保障厅首页，在“资讯中心”页面下方的“专题专栏”中点击“</w:t>
      </w:r>
      <w:r>
        <w:rPr>
          <w:rFonts w:hint="eastAsia" w:ascii="宋体" w:hAnsi="宋体" w:eastAsia="宋体" w:cs="宋体"/>
          <w:b/>
          <w:bCs/>
        </w:rPr>
        <w:t>专技人员综合管理服务平台</w:t>
      </w:r>
      <w:r>
        <w:rPr>
          <w:rFonts w:hint="eastAsia" w:ascii="宋体" w:hAnsi="宋体" w:eastAsia="宋体" w:cs="宋体"/>
        </w:rPr>
        <w:t>”（以下简称本系统），进入本系统首页，选择“</w:t>
      </w:r>
      <w:r>
        <w:rPr>
          <w:rFonts w:hint="eastAsia" w:ascii="宋体" w:hAnsi="宋体" w:eastAsia="宋体" w:cs="宋体"/>
          <w:b/>
          <w:bCs/>
        </w:rPr>
        <w:t>高层次/留学人才</w:t>
      </w:r>
      <w:r>
        <w:rPr>
          <w:rFonts w:hint="eastAsia" w:ascii="宋体" w:hAnsi="宋体" w:eastAsia="宋体" w:cs="宋体"/>
        </w:rPr>
        <w:t>”，跳转至登录页面，选择“</w:t>
      </w:r>
      <w:r>
        <w:rPr>
          <w:rFonts w:hint="eastAsia" w:ascii="宋体" w:hAnsi="宋体" w:eastAsia="宋体" w:cs="宋体"/>
          <w:b/>
          <w:bCs/>
        </w:rPr>
        <w:t>个人登录</w:t>
      </w:r>
      <w:r>
        <w:rPr>
          <w:rFonts w:hint="eastAsia" w:ascii="宋体" w:hAnsi="宋体" w:eastAsia="宋体" w:cs="宋体"/>
        </w:rPr>
        <w:t>”下方“</w:t>
      </w:r>
      <w:r>
        <w:rPr>
          <w:rFonts w:hint="eastAsia" w:ascii="宋体" w:hAnsi="宋体" w:eastAsia="宋体" w:cs="宋体"/>
          <w:b/>
          <w:bCs/>
        </w:rPr>
        <w:t>前往安徽政务网</w:t>
      </w:r>
      <w:r>
        <w:rPr>
          <w:rFonts w:hint="eastAsia" w:ascii="宋体" w:hAnsi="宋体" w:eastAsia="宋体" w:cs="宋体"/>
        </w:rPr>
        <w:t>”，跳转至安徽政务服务网页面，使用安徽政务服务网个人账号密码进行登录。如图1-1、图1-2、图1-3、图1-4所示：</w:t>
      </w:r>
    </w:p>
    <w:p>
      <w:pPr>
        <w:spacing w:after="0"/>
        <w:ind w:firstLine="0" w:firstLineChars="0"/>
        <w:jc w:val="center"/>
        <w:rPr>
          <w:rFonts w:ascii="仿宋" w:hAnsi="仿宋" w:eastAsia="仿宋" w:cs="仿宋"/>
        </w:rPr>
      </w:pPr>
      <w:r>
        <w:drawing>
          <wp:inline distT="0" distB="0" distL="114300" distR="114300">
            <wp:extent cx="5220335" cy="3679825"/>
            <wp:effectExtent l="0" t="0" r="8890"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stretch>
                      <a:fillRect/>
                    </a:stretch>
                  </pic:blipFill>
                  <pic:spPr>
                    <a:xfrm>
                      <a:off x="0" y="0"/>
                      <a:ext cx="5220335" cy="3679825"/>
                    </a:xfrm>
                    <a:prstGeom prst="rect">
                      <a:avLst/>
                    </a:prstGeom>
                    <a:noFill/>
                    <a:ln>
                      <a:noFill/>
                    </a:ln>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图1-1</w:t>
      </w:r>
    </w:p>
    <w:p>
      <w:pPr>
        <w:spacing w:after="0"/>
        <w:ind w:firstLine="0" w:firstLineChars="0"/>
        <w:jc w:val="center"/>
        <w:rPr>
          <w:rFonts w:ascii="仿宋" w:hAnsi="仿宋" w:eastAsia="仿宋" w:cs="仿宋"/>
        </w:rPr>
      </w:pPr>
      <w:r>
        <w:drawing>
          <wp:inline distT="0" distB="0" distL="114300" distR="114300">
            <wp:extent cx="5269865" cy="3223895"/>
            <wp:effectExtent l="0" t="0" r="6985" b="5080"/>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14"/>
                    <a:stretch>
                      <a:fillRect/>
                    </a:stretch>
                  </pic:blipFill>
                  <pic:spPr>
                    <a:xfrm>
                      <a:off x="0" y="0"/>
                      <a:ext cx="5269865" cy="3223895"/>
                    </a:xfrm>
                    <a:prstGeom prst="rect">
                      <a:avLst/>
                    </a:prstGeom>
                    <a:noFill/>
                    <a:ln>
                      <a:noFill/>
                    </a:ln>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图1-2</w:t>
      </w:r>
    </w:p>
    <w:p>
      <w:pPr>
        <w:spacing w:after="0"/>
        <w:ind w:firstLine="0" w:firstLineChars="0"/>
        <w:jc w:val="center"/>
        <w:rPr>
          <w:rFonts w:ascii="仿宋" w:hAnsi="仿宋" w:eastAsia="仿宋" w:cs="仿宋"/>
        </w:rPr>
      </w:pPr>
      <w:r>
        <w:drawing>
          <wp:inline distT="0" distB="0" distL="114300" distR="114300">
            <wp:extent cx="5559425" cy="3559810"/>
            <wp:effectExtent l="0" t="0" r="3175" b="2540"/>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15"/>
                    <a:stretch>
                      <a:fillRect/>
                    </a:stretch>
                  </pic:blipFill>
                  <pic:spPr>
                    <a:xfrm>
                      <a:off x="0" y="0"/>
                      <a:ext cx="5559425" cy="3559810"/>
                    </a:xfrm>
                    <a:prstGeom prst="rect">
                      <a:avLst/>
                    </a:prstGeom>
                    <a:noFill/>
                    <a:ln>
                      <a:noFill/>
                    </a:ln>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图1-3</w:t>
      </w:r>
    </w:p>
    <w:p>
      <w:pPr>
        <w:spacing w:after="0"/>
        <w:ind w:firstLine="0" w:firstLineChars="0"/>
        <w:jc w:val="center"/>
      </w:pPr>
      <w:r>
        <w:drawing>
          <wp:inline distT="0" distB="0" distL="114300" distR="114300">
            <wp:extent cx="5559425" cy="3658235"/>
            <wp:effectExtent l="0" t="0" r="3175" b="8890"/>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16"/>
                    <a:stretch>
                      <a:fillRect/>
                    </a:stretch>
                  </pic:blipFill>
                  <pic:spPr>
                    <a:xfrm>
                      <a:off x="0" y="0"/>
                      <a:ext cx="5559425" cy="3658235"/>
                    </a:xfrm>
                    <a:prstGeom prst="rect">
                      <a:avLst/>
                    </a:prstGeom>
                    <a:noFill/>
                    <a:ln>
                      <a:noFill/>
                    </a:ln>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图1-4</w:t>
      </w:r>
    </w:p>
    <w:p>
      <w:pPr>
        <w:numPr>
          <w:ilvl w:val="0"/>
          <w:numId w:val="2"/>
        </w:numPr>
        <w:ind w:firstLineChars="0"/>
        <w:rPr>
          <w:rFonts w:ascii="宋体" w:hAnsi="宋体" w:eastAsia="宋体" w:cs="宋体"/>
        </w:rPr>
      </w:pPr>
      <w:r>
        <w:rPr>
          <w:rFonts w:hint="eastAsia" w:ascii="宋体" w:hAnsi="宋体" w:eastAsia="宋体" w:cs="宋体"/>
        </w:rPr>
        <w:t>已有安徽政务服务网账号的申报人员，可直接在“个人用户”框中登录，支持账号密码登录和支付宝扫码授权登录，登录后自动进入本系统。</w:t>
      </w:r>
    </w:p>
    <w:p>
      <w:pPr>
        <w:numPr>
          <w:ilvl w:val="0"/>
          <w:numId w:val="2"/>
        </w:numPr>
        <w:ind w:firstLineChars="0"/>
        <w:rPr>
          <w:rFonts w:ascii="宋体" w:hAnsi="宋体" w:eastAsia="宋体" w:cs="宋体"/>
        </w:rPr>
      </w:pPr>
      <w:r>
        <w:rPr>
          <w:rFonts w:hint="eastAsia" w:ascii="宋体" w:hAnsi="宋体" w:eastAsia="宋体" w:cs="宋体"/>
        </w:rPr>
        <w:t>没有安徽政务服务网账号的申报人员，点击“个人用户”框下方的“注册”，根据安徽政务服务网提示完成注册再进入安徽省专业技术人员综合管理服务平台的登录页点击“个人登录”。</w:t>
      </w:r>
    </w:p>
    <w:p>
      <w:pPr>
        <w:numPr>
          <w:ilvl w:val="0"/>
          <w:numId w:val="2"/>
        </w:numPr>
        <w:ind w:firstLineChars="0"/>
        <w:rPr>
          <w:rFonts w:ascii="宋体" w:hAnsi="宋体" w:eastAsia="宋体" w:cs="宋体"/>
        </w:rPr>
      </w:pPr>
      <w:r>
        <w:rPr>
          <w:rFonts w:hint="eastAsia" w:ascii="宋体" w:hAnsi="宋体" w:eastAsia="宋体" w:cs="宋体"/>
        </w:rPr>
        <w:t>若申报人员为首次登录本系统，点击安徽政务服务网的“登录”后则将跳转到本系统个人注册界面，需完善个人信息才可进入系统。如图1-5所示：</w:t>
      </w:r>
    </w:p>
    <w:p>
      <w:pPr>
        <w:spacing w:after="0"/>
        <w:ind w:firstLine="0" w:firstLineChars="0"/>
        <w:jc w:val="center"/>
        <w:rPr>
          <w:rFonts w:ascii="仿宋" w:hAnsi="仿宋" w:eastAsia="仿宋" w:cs="仿宋"/>
        </w:rPr>
      </w:pPr>
      <w:r>
        <w:drawing>
          <wp:inline distT="0" distB="0" distL="0" distR="0">
            <wp:extent cx="5560695" cy="4201160"/>
            <wp:effectExtent l="0" t="0" r="1905" b="8890"/>
            <wp:docPr id="37" name="图片 5" descr="6单位选择"/>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5" descr="6单位选择"/>
                    <pic:cNvPicPr>
                      <a:picLocks noChangeAspect="true"/>
                    </pic:cNvPicPr>
                  </pic:nvPicPr>
                  <pic:blipFill>
                    <a:blip r:embed="rId17"/>
                    <a:stretch>
                      <a:fillRect/>
                    </a:stretch>
                  </pic:blipFill>
                  <pic:spPr>
                    <a:xfrm>
                      <a:off x="0" y="0"/>
                      <a:ext cx="5560695" cy="420116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图1-5</w:t>
      </w:r>
    </w:p>
    <w:p>
      <w:pPr>
        <w:ind w:firstLine="0" w:firstLineChars="0"/>
        <w:jc w:val="left"/>
        <w:rPr>
          <w:rFonts w:asciiTheme="minorEastAsia" w:hAnsiTheme="minorEastAsia" w:cstheme="minorEastAsia"/>
          <w:b/>
          <w:bCs/>
        </w:rPr>
      </w:pPr>
      <w:r>
        <w:rPr>
          <w:rFonts w:hint="eastAsia" w:asciiTheme="minorEastAsia" w:hAnsiTheme="minorEastAsia" w:cstheme="minorEastAsia"/>
          <w:b/>
          <w:bCs/>
        </w:rPr>
        <w:t>注：申报人员如果未绑定工作单位或未取得工作单位审核通过之前，可进行数据录入，但无法提交审核。因此在完善个人信息时，“是否同步注册单位”设为选择项。</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是”，点击“选择单位”，在弹出的搜索框中输入单位名称，查询到匹配的单位名称后，点击单位名称后对应的“选择”按钮，输入申请说明，点击“提交”，待单位审核通过后，即可完成工作单位的绑定。</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选择“否”，则可暂不选择工作单位，待进入系统后在“个人中心”中再变更工作单位。</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是”，点击“选择单位”，在弹出的搜索框中输入单位名称，但查询不到匹配的单位名称，说明所在工作单位尚未在本系统中完成注册，申报人员需关闭搜索框，将“是否同步注册单位”选为“否”，点击“提交”。同时联系所在单位相关负责人通过本系统进行法人账号的注册登录，待工作单位账号注册成功后，申报人员可在“个人中心”页面，点击“变更单位”，选择工作单位名称，待单位审核通过后，即可完成工作单位的绑定。如图1-6所示：</w:t>
      </w:r>
    </w:p>
    <w:p>
      <w:pPr>
        <w:spacing w:after="0"/>
        <w:ind w:firstLine="0" w:firstLineChars="0"/>
        <w:jc w:val="center"/>
        <w:rPr>
          <w:rFonts w:ascii="仿宋" w:hAnsi="仿宋" w:eastAsia="仿宋" w:cs="仿宋"/>
        </w:rPr>
      </w:pPr>
      <w:r>
        <w:drawing>
          <wp:inline distT="0" distB="0" distL="0" distR="0">
            <wp:extent cx="5560695" cy="4156710"/>
            <wp:effectExtent l="0" t="0" r="1905"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8"/>
                    <a:stretch>
                      <a:fillRect/>
                    </a:stretch>
                  </pic:blipFill>
                  <pic:spPr>
                    <a:xfrm>
                      <a:off x="0" y="0"/>
                      <a:ext cx="5560695" cy="415671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图1-6</w:t>
      </w:r>
    </w:p>
    <w:p>
      <w:pPr>
        <w:pStyle w:val="2"/>
        <w:numPr>
          <w:ilvl w:val="0"/>
          <w:numId w:val="0"/>
        </w:numPr>
      </w:pPr>
      <w:bookmarkStart w:id="4" w:name="_Toc141449057"/>
      <w:r>
        <w:rPr>
          <w:rFonts w:hint="eastAsia"/>
        </w:rPr>
        <w:t>二、学术和技术带头人</w:t>
      </w:r>
      <w:bookmarkEnd w:id="4"/>
    </w:p>
    <w:p>
      <w:pPr>
        <w:ind w:firstLine="480"/>
        <w:rPr>
          <w:rFonts w:hint="eastAsia"/>
        </w:rPr>
      </w:pPr>
      <w:r>
        <w:rPr>
          <w:rFonts w:hint="eastAsia"/>
        </w:rPr>
        <w:t>申报人进入系统之后，点击“学术带头人”模块，进入学术和技术带头人平台，如图</w:t>
      </w:r>
      <w:r>
        <w:rPr>
          <w:rFonts w:hint="eastAsia" w:asciiTheme="minorEastAsia" w:hAnsiTheme="minorEastAsia"/>
        </w:rPr>
        <w:t>2</w:t>
      </w:r>
      <w:r>
        <w:rPr>
          <w:rFonts w:asciiTheme="minorEastAsia" w:hAnsiTheme="minorEastAsia"/>
        </w:rPr>
        <w:t>-1</w:t>
      </w:r>
      <w:r>
        <w:rPr>
          <w:rFonts w:hint="eastAsia"/>
        </w:rPr>
        <w:t>所示：</w:t>
      </w:r>
    </w:p>
    <w:p>
      <w:pPr>
        <w:ind w:firstLine="0" w:firstLineChars="0"/>
      </w:pPr>
      <w:r>
        <w:drawing>
          <wp:inline distT="0" distB="0" distL="0" distR="0">
            <wp:extent cx="5560695" cy="2825115"/>
            <wp:effectExtent l="0" t="0" r="1905"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19"/>
                    <a:stretch>
                      <a:fillRect/>
                    </a:stretch>
                  </pic:blipFill>
                  <pic:spPr>
                    <a:xfrm>
                      <a:off x="0" y="0"/>
                      <a:ext cx="5560695" cy="2825115"/>
                    </a:xfrm>
                    <a:prstGeom prst="rect">
                      <a:avLst/>
                    </a:prstGeom>
                  </pic:spPr>
                </pic:pic>
              </a:graphicData>
            </a:graphic>
          </wp:inline>
        </w:drawing>
      </w:r>
    </w:p>
    <w:p>
      <w:pPr>
        <w:ind w:left="480" w:leftChars="200" w:firstLine="0" w:firstLineChars="0"/>
        <w:jc w:val="center"/>
        <w:rPr>
          <w:rFonts w:hint="eastAsia" w:ascii="宋体" w:hAnsi="宋体" w:eastAsia="宋体" w:cs="宋体"/>
        </w:rPr>
      </w:pPr>
      <w:r>
        <w:rPr>
          <w:rFonts w:hint="eastAsia" w:ascii="宋体" w:hAnsi="宋体" w:eastAsia="宋体" w:cs="宋体"/>
        </w:rPr>
        <w:t>图</w:t>
      </w:r>
      <w:r>
        <w:rPr>
          <w:rFonts w:ascii="宋体" w:hAnsi="宋体" w:eastAsia="宋体" w:cs="宋体"/>
        </w:rPr>
        <w:t>2</w:t>
      </w:r>
      <w:r>
        <w:rPr>
          <w:rFonts w:hint="eastAsia" w:ascii="宋体" w:hAnsi="宋体" w:eastAsia="宋体" w:cs="宋体"/>
        </w:rPr>
        <w:t>-1</w:t>
      </w:r>
    </w:p>
    <w:p>
      <w:pPr>
        <w:pStyle w:val="3"/>
        <w:spacing w:before="120" w:after="120"/>
      </w:pPr>
      <w:bookmarkStart w:id="5" w:name="_Toc141449058"/>
      <w:r>
        <w:rPr>
          <w:rFonts w:hint="eastAsia"/>
        </w:rPr>
        <w:t>页面展示</w:t>
      </w:r>
      <w:bookmarkEnd w:id="5"/>
    </w:p>
    <w:p>
      <w:pPr>
        <w:spacing w:after="156" w:afterLines="50"/>
        <w:ind w:firstLine="480"/>
        <w:rPr>
          <w:rFonts w:ascii="仿宋" w:hAnsi="仿宋" w:eastAsia="仿宋" w:cs="仿宋"/>
        </w:rPr>
      </w:pPr>
      <w:r>
        <w:rPr>
          <w:rFonts w:hint="eastAsia" w:ascii="宋体" w:hAnsi="宋体" w:eastAsia="宋体" w:cs="宋体"/>
        </w:rPr>
        <w:t>学术和技术带头人页面分别展示申报人员的申报记录以及最新的计划信息。</w:t>
      </w:r>
    </w:p>
    <w:p>
      <w:pPr>
        <w:numPr>
          <w:ilvl w:val="0"/>
          <w:numId w:val="4"/>
        </w:numPr>
        <w:ind w:firstLineChars="0"/>
        <w:rPr>
          <w:rFonts w:ascii="宋体" w:hAnsi="宋体" w:eastAsia="宋体" w:cs="宋体"/>
        </w:rPr>
      </w:pPr>
      <w:r>
        <w:rPr>
          <w:rFonts w:hint="eastAsia" w:ascii="宋体" w:hAnsi="宋体" w:eastAsia="宋体" w:cs="宋体"/>
        </w:rPr>
        <w:t>我的申报记录：显示计划年度、计划名称、申报类型、所属批次、审核状态以及操作栏等。</w:t>
      </w:r>
    </w:p>
    <w:p>
      <w:pPr>
        <w:numPr>
          <w:ilvl w:val="0"/>
          <w:numId w:val="4"/>
        </w:numPr>
        <w:ind w:firstLineChars="0"/>
        <w:rPr>
          <w:rFonts w:ascii="宋体" w:hAnsi="宋体" w:eastAsia="宋体" w:cs="宋体"/>
        </w:rPr>
      </w:pPr>
      <w:r>
        <w:rPr>
          <w:rFonts w:hint="eastAsia" w:ascii="宋体" w:hAnsi="宋体" w:eastAsia="宋体" w:cs="宋体"/>
        </w:rPr>
        <w:t>最新计划信息：显示计划年度、计划名称、申报起止日期、相关批次、计划发布时间等。</w:t>
      </w:r>
    </w:p>
    <w:p>
      <w:pPr>
        <w:spacing w:after="0"/>
        <w:ind w:firstLine="0" w:firstLineChars="0"/>
        <w:jc w:val="center"/>
        <w:rPr>
          <w:rFonts w:ascii="仿宋" w:hAnsi="仿宋" w:eastAsia="仿宋" w:cs="仿宋"/>
        </w:rPr>
      </w:pPr>
      <w:r>
        <w:drawing>
          <wp:inline distT="0" distB="0" distL="0" distR="0">
            <wp:extent cx="5560695" cy="3860165"/>
            <wp:effectExtent l="0" t="0" r="1905" b="698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20"/>
                    <a:stretch>
                      <a:fillRect/>
                    </a:stretch>
                  </pic:blipFill>
                  <pic:spPr>
                    <a:xfrm>
                      <a:off x="0" y="0"/>
                      <a:ext cx="5560695" cy="386016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w:t>
      </w:r>
      <w:r>
        <w:rPr>
          <w:rFonts w:hint="eastAsia" w:ascii="宋体" w:hAnsi="宋体" w:eastAsia="宋体" w:cs="宋体"/>
        </w:rPr>
        <w:t>-</w:t>
      </w:r>
      <w:r>
        <w:rPr>
          <w:rFonts w:ascii="宋体" w:hAnsi="宋体" w:eastAsia="宋体" w:cs="宋体"/>
        </w:rPr>
        <w:t>2</w:t>
      </w:r>
    </w:p>
    <w:p>
      <w:pPr>
        <w:pStyle w:val="3"/>
        <w:spacing w:before="120" w:after="120"/>
      </w:pPr>
      <w:bookmarkStart w:id="6" w:name="_Toc141449059"/>
      <w:r>
        <w:rPr>
          <w:rFonts w:hint="eastAsia"/>
        </w:rPr>
        <w:t>申报流程</w:t>
      </w:r>
      <w:bookmarkEnd w:id="6"/>
    </w:p>
    <w:p>
      <w:pPr>
        <w:pStyle w:val="4"/>
        <w:rPr>
          <w:rFonts w:hint="eastAsia"/>
        </w:rPr>
      </w:pPr>
      <w:bookmarkStart w:id="7" w:name="_Toc141449060"/>
      <w:r>
        <w:rPr>
          <w:rFonts w:hint="eastAsia"/>
        </w:rPr>
        <w:t>马上申报</w:t>
      </w:r>
      <w:bookmarkEnd w:id="7"/>
    </w:p>
    <w:p>
      <w:pPr>
        <w:ind w:firstLine="480"/>
        <w:rPr>
          <w:rFonts w:ascii="宋体" w:hAnsi="宋体" w:eastAsia="宋体" w:cs="宋体"/>
        </w:rPr>
      </w:pPr>
      <w:r>
        <w:rPr>
          <w:rFonts w:hint="eastAsia" w:ascii="宋体" w:hAnsi="宋体" w:eastAsia="宋体" w:cs="宋体"/>
        </w:rPr>
        <w:t>点击图</w:t>
      </w:r>
      <w:r>
        <w:rPr>
          <w:rFonts w:ascii="宋体" w:hAnsi="宋体" w:eastAsia="宋体" w:cs="宋体"/>
        </w:rPr>
        <w:t>2</w:t>
      </w:r>
      <w:r>
        <w:rPr>
          <w:rFonts w:hint="eastAsia" w:ascii="宋体" w:hAnsi="宋体" w:eastAsia="宋体" w:cs="宋体"/>
        </w:rPr>
        <w:t>-</w:t>
      </w:r>
      <w:r>
        <w:rPr>
          <w:rFonts w:ascii="宋体" w:hAnsi="宋体" w:eastAsia="宋体" w:cs="宋体"/>
        </w:rPr>
        <w:t>2</w:t>
      </w:r>
      <w:r>
        <w:rPr>
          <w:rFonts w:hint="eastAsia" w:ascii="宋体" w:hAnsi="宋体" w:eastAsia="宋体" w:cs="宋体"/>
        </w:rPr>
        <w:t>中计划信息下对应的“马上申报”，在弹出的申报计划详细信息页面中，点击下方“马上申报”按钮。如图</w:t>
      </w:r>
      <w:r>
        <w:rPr>
          <w:rFonts w:ascii="宋体" w:hAnsi="宋体" w:eastAsia="宋体" w:cs="宋体"/>
        </w:rPr>
        <w:t>2</w:t>
      </w:r>
      <w:r>
        <w:rPr>
          <w:rFonts w:hint="eastAsia" w:ascii="宋体" w:hAnsi="宋体" w:eastAsia="宋体" w:cs="宋体"/>
        </w:rPr>
        <w:t>-</w:t>
      </w:r>
      <w:r>
        <w:rPr>
          <w:rFonts w:ascii="宋体" w:hAnsi="宋体" w:eastAsia="宋体" w:cs="宋体"/>
        </w:rPr>
        <w:t>3</w:t>
      </w:r>
      <w:r>
        <w:rPr>
          <w:rFonts w:hint="eastAsia" w:ascii="宋体" w:hAnsi="宋体" w:eastAsia="宋体" w:cs="宋体"/>
        </w:rPr>
        <w:t>所示：</w:t>
      </w:r>
    </w:p>
    <w:p>
      <w:pPr>
        <w:ind w:firstLine="0" w:firstLineChars="0"/>
        <w:rPr>
          <w:rFonts w:ascii="宋体" w:hAnsi="宋体" w:eastAsia="宋体" w:cs="宋体"/>
        </w:rPr>
      </w:pPr>
    </w:p>
    <w:p>
      <w:pPr>
        <w:spacing w:after="0"/>
        <w:ind w:firstLine="0" w:firstLineChars="0"/>
        <w:jc w:val="center"/>
        <w:rPr>
          <w:rFonts w:ascii="仿宋" w:hAnsi="仿宋" w:eastAsia="仿宋" w:cs="仿宋"/>
        </w:rPr>
      </w:pPr>
      <w:r>
        <w:drawing>
          <wp:inline distT="0" distB="0" distL="0" distR="0">
            <wp:extent cx="5560695" cy="3581400"/>
            <wp:effectExtent l="0" t="0" r="1905"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21"/>
                    <a:stretch>
                      <a:fillRect/>
                    </a:stretch>
                  </pic:blipFill>
                  <pic:spPr>
                    <a:xfrm>
                      <a:off x="0" y="0"/>
                      <a:ext cx="5560695" cy="358140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2-3</w:t>
      </w:r>
    </w:p>
    <w:p>
      <w:pPr>
        <w:pStyle w:val="4"/>
        <w:rPr>
          <w:rFonts w:hint="eastAsia"/>
        </w:rPr>
      </w:pPr>
      <w:bookmarkStart w:id="8" w:name="_Toc141449061"/>
      <w:r>
        <w:rPr>
          <w:rFonts w:hint="eastAsia"/>
        </w:rPr>
        <w:t>诚信承诺书</w:t>
      </w:r>
      <w:bookmarkEnd w:id="8"/>
    </w:p>
    <w:p>
      <w:pPr>
        <w:spacing w:after="156" w:afterLines="50"/>
        <w:ind w:firstLine="480"/>
        <w:jc w:val="left"/>
        <w:rPr>
          <w:rFonts w:ascii="宋体" w:hAnsi="宋体" w:eastAsia="宋体" w:cs="宋体"/>
        </w:rPr>
      </w:pPr>
      <w:r>
        <w:rPr>
          <w:rFonts w:hint="eastAsia" w:ascii="宋体" w:hAnsi="宋体" w:eastAsia="宋体" w:cs="宋体"/>
        </w:rPr>
        <w:t>在弹出的诚信承诺书页面，勾选“我已阅读并承诺”，点击“同意并继续”，进入申报信息填写页面，若不勾选“我已阅读并承诺”则无法进行下一步。如图</w:t>
      </w:r>
      <w:r>
        <w:rPr>
          <w:rFonts w:ascii="宋体" w:hAnsi="宋体" w:eastAsia="宋体" w:cs="宋体"/>
        </w:rPr>
        <w:t>2-4</w:t>
      </w:r>
      <w:r>
        <w:rPr>
          <w:rFonts w:hint="eastAsia" w:ascii="宋体" w:hAnsi="宋体" w:eastAsia="宋体" w:cs="宋体"/>
        </w:rPr>
        <w:t>所示：</w:t>
      </w:r>
    </w:p>
    <w:p>
      <w:pPr>
        <w:spacing w:after="156" w:afterLines="50"/>
        <w:ind w:firstLine="0" w:firstLineChars="0"/>
        <w:jc w:val="left"/>
        <w:rPr>
          <w:rFonts w:ascii="宋体" w:hAnsi="宋体" w:eastAsia="宋体" w:cs="宋体"/>
        </w:rPr>
      </w:pPr>
      <w:r>
        <w:drawing>
          <wp:inline distT="0" distB="0" distL="0" distR="0">
            <wp:extent cx="5560695" cy="2969895"/>
            <wp:effectExtent l="0" t="0" r="1905" b="190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22"/>
                    <a:stretch>
                      <a:fillRect/>
                    </a:stretch>
                  </pic:blipFill>
                  <pic:spPr>
                    <a:xfrm>
                      <a:off x="0" y="0"/>
                      <a:ext cx="5560695" cy="296989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2-4</w:t>
      </w:r>
    </w:p>
    <w:p>
      <w:pPr>
        <w:pStyle w:val="4"/>
      </w:pPr>
      <w:bookmarkStart w:id="9" w:name="_Toc141449062"/>
      <w:r>
        <w:rPr>
          <w:rFonts w:hint="eastAsia"/>
        </w:rPr>
        <w:t>填写申报信息</w:t>
      </w:r>
      <w:bookmarkEnd w:id="9"/>
    </w:p>
    <w:p>
      <w:pPr>
        <w:pStyle w:val="5"/>
        <w:spacing w:before="120" w:after="120" w:line="360" w:lineRule="auto"/>
        <w:ind w:firstLine="0"/>
        <w:rPr>
          <w:rFonts w:hint="eastAsia" w:asciiTheme="minorEastAsia" w:hAnsiTheme="minorEastAsia" w:eastAsiaTheme="minorEastAsia"/>
          <w:sz w:val="24"/>
        </w:rPr>
      </w:pPr>
      <w:r>
        <w:rPr>
          <w:rFonts w:hint="eastAsia" w:asciiTheme="minorEastAsia" w:hAnsiTheme="minorEastAsia" w:eastAsiaTheme="minorEastAsia"/>
          <w:sz w:val="24"/>
        </w:rPr>
        <w:t>基本信息申报</w:t>
      </w:r>
    </w:p>
    <w:p>
      <w:pPr>
        <w:spacing w:after="156" w:afterLines="50"/>
        <w:ind w:firstLine="480"/>
        <w:jc w:val="left"/>
        <w:rPr>
          <w:rFonts w:ascii="宋体" w:hAnsi="宋体" w:eastAsia="宋体" w:cs="宋体"/>
        </w:rPr>
      </w:pPr>
      <w:r>
        <w:rPr>
          <w:rFonts w:hint="eastAsia" w:ascii="宋体" w:hAnsi="宋体" w:eastAsia="宋体" w:cs="宋体"/>
        </w:rPr>
        <w:t>选择申报类别、初评分组，录入申报人员各项基本信息（首次填报时个人中心信息将同步到填报页面），并上传个人照片、身份证正反面、毕业证书、学位证书等相关证明材料；点击“保存”即可。如图</w:t>
      </w:r>
      <w:r>
        <w:rPr>
          <w:rFonts w:ascii="宋体" w:hAnsi="宋体" w:eastAsia="宋体" w:cs="宋体"/>
        </w:rPr>
        <w:t>2-5</w:t>
      </w:r>
      <w:r>
        <w:rPr>
          <w:rFonts w:hint="eastAsia" w:ascii="宋体" w:hAnsi="宋体" w:eastAsia="宋体" w:cs="宋体"/>
        </w:rPr>
        <w:t>所示：</w:t>
      </w:r>
    </w:p>
    <w:p>
      <w:pPr>
        <w:spacing w:after="156" w:afterLines="50"/>
        <w:ind w:left="425" w:hanging="425" w:firstLineChars="0"/>
        <w:jc w:val="left"/>
        <w:rPr>
          <w:rFonts w:ascii="仿宋" w:hAnsi="仿宋" w:eastAsia="仿宋" w:cs="仿宋"/>
        </w:rPr>
      </w:pPr>
      <w:r>
        <w:drawing>
          <wp:inline distT="0" distB="0" distL="0" distR="0">
            <wp:extent cx="5560695" cy="8258175"/>
            <wp:effectExtent l="0" t="0" r="1905" b="9525"/>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23"/>
                    <a:stretch>
                      <a:fillRect/>
                    </a:stretch>
                  </pic:blipFill>
                  <pic:spPr>
                    <a:xfrm>
                      <a:off x="0" y="0"/>
                      <a:ext cx="5560695" cy="8258175"/>
                    </a:xfrm>
                    <a:prstGeom prst="rect">
                      <a:avLst/>
                    </a:prstGeom>
                  </pic:spPr>
                </pic:pic>
              </a:graphicData>
            </a:graphic>
          </wp:inline>
        </w:drawing>
      </w:r>
    </w:p>
    <w:p>
      <w:pPr>
        <w:ind w:left="480" w:leftChars="200" w:firstLine="0" w:firstLineChars="0"/>
        <w:jc w:val="center"/>
        <w:rPr>
          <w:rFonts w:hint="eastAsia" w:ascii="宋体" w:hAnsi="宋体" w:eastAsia="宋体" w:cs="宋体"/>
        </w:rPr>
      </w:pPr>
      <w:r>
        <w:rPr>
          <w:rFonts w:hint="eastAsia" w:ascii="宋体" w:hAnsi="宋体" w:eastAsia="宋体" w:cs="宋体"/>
        </w:rPr>
        <w:t>图</w:t>
      </w:r>
      <w:r>
        <w:rPr>
          <w:rFonts w:ascii="宋体" w:hAnsi="宋体" w:eastAsia="宋体" w:cs="宋体"/>
        </w:rPr>
        <w:t>2-5</w:t>
      </w:r>
    </w:p>
    <w:p>
      <w:pPr>
        <w:ind w:firstLine="0" w:firstLineChars="0"/>
        <w:jc w:val="left"/>
        <w:rPr>
          <w:rFonts w:ascii="仿宋" w:hAnsi="仿宋" w:eastAsia="仿宋" w:cs="仿宋"/>
        </w:rPr>
      </w:pPr>
      <w:r>
        <w:rPr>
          <w:rFonts w:hint="eastAsia" w:ascii="仿宋" w:hAnsi="仿宋" w:eastAsia="仿宋" w:cs="仿宋"/>
          <w:b/>
          <w:bCs/>
          <w:color w:val="C00000"/>
          <w:sz w:val="28"/>
          <w:szCs w:val="28"/>
        </w:rPr>
        <w:t>注意：</w:t>
      </w:r>
    </w:p>
    <w:p>
      <w:pPr>
        <w:numPr>
          <w:ilvl w:val="0"/>
          <w:numId w:val="5"/>
        </w:numPr>
        <w:ind w:firstLine="482"/>
        <w:rPr>
          <w:rFonts w:ascii="宋体" w:hAnsi="宋体" w:eastAsia="宋体" w:cstheme="minorEastAsia"/>
          <w:b/>
          <w:bCs/>
        </w:rPr>
      </w:pPr>
      <w:r>
        <w:rPr>
          <w:rFonts w:hint="eastAsia" w:ascii="宋体" w:hAnsi="宋体" w:eastAsia="宋体" w:cstheme="minorEastAsia"/>
          <w:b/>
          <w:bCs/>
        </w:rPr>
        <w:t>申报类别是指申报带头人还是后备人选，二选一即可。</w:t>
      </w:r>
    </w:p>
    <w:p>
      <w:pPr>
        <w:numPr>
          <w:ilvl w:val="0"/>
          <w:numId w:val="5"/>
        </w:numPr>
        <w:ind w:firstLine="482"/>
        <w:rPr>
          <w:rFonts w:ascii="宋体" w:hAnsi="宋体" w:eastAsia="宋体" w:cstheme="minorEastAsia"/>
          <w:b/>
          <w:bCs/>
        </w:rPr>
      </w:pPr>
      <w:r>
        <w:rPr>
          <w:rFonts w:hint="eastAsia" w:ascii="宋体" w:hAnsi="宋体" w:eastAsia="宋体" w:cstheme="minorEastAsia"/>
          <w:b/>
          <w:bCs/>
        </w:rPr>
        <w:t>初评分组请根据申报人员所获得职称或技能等级来选择对应分组。</w:t>
      </w:r>
    </w:p>
    <w:p>
      <w:pPr>
        <w:numPr>
          <w:ilvl w:val="0"/>
          <w:numId w:val="5"/>
        </w:numPr>
        <w:ind w:firstLine="482"/>
        <w:rPr>
          <w:rFonts w:ascii="宋体" w:hAnsi="宋体" w:eastAsia="宋体" w:cstheme="minorEastAsia"/>
          <w:b/>
          <w:bCs/>
        </w:rPr>
      </w:pPr>
      <w:r>
        <w:rPr>
          <w:rFonts w:hint="eastAsia" w:ascii="宋体" w:hAnsi="宋体" w:eastAsia="宋体" w:cstheme="minorEastAsia"/>
          <w:b/>
          <w:bCs/>
        </w:rPr>
        <w:t>姓名、身份证号码、性别、出生年月为不可更改项。</w:t>
      </w:r>
    </w:p>
    <w:p>
      <w:pPr>
        <w:numPr>
          <w:ilvl w:val="0"/>
          <w:numId w:val="5"/>
        </w:numPr>
        <w:ind w:firstLine="482"/>
        <w:rPr>
          <w:rFonts w:ascii="宋体" w:hAnsi="宋体" w:eastAsia="宋体" w:cstheme="minorEastAsia"/>
          <w:b/>
          <w:bCs/>
        </w:rPr>
      </w:pPr>
      <w:r>
        <w:rPr>
          <w:rFonts w:hint="eastAsia" w:ascii="宋体" w:hAnsi="宋体" w:eastAsia="宋体" w:cstheme="minorEastAsia"/>
          <w:b/>
          <w:bCs/>
        </w:rPr>
        <w:t>上传的个人照片为近期免冠正面彩色证件照，背景色不限定。</w:t>
      </w:r>
    </w:p>
    <w:p>
      <w:pPr>
        <w:numPr>
          <w:ilvl w:val="0"/>
          <w:numId w:val="5"/>
        </w:numPr>
        <w:ind w:firstLine="482"/>
        <w:rPr>
          <w:rFonts w:ascii="宋体" w:hAnsi="宋体" w:eastAsia="宋体" w:cstheme="minorEastAsia"/>
          <w:b/>
          <w:bCs/>
        </w:rPr>
      </w:pPr>
      <w:r>
        <w:rPr>
          <w:rFonts w:hint="eastAsia" w:ascii="宋体" w:hAnsi="宋体" w:eastAsia="宋体" w:cstheme="minorEastAsia"/>
          <w:b/>
          <w:bCs/>
        </w:rPr>
        <w:t>上传的个人诚信承诺书必须有本人手写签名。</w:t>
      </w:r>
    </w:p>
    <w:p>
      <w:pPr>
        <w:numPr>
          <w:ilvl w:val="0"/>
          <w:numId w:val="5"/>
        </w:numPr>
        <w:ind w:firstLine="482"/>
        <w:rPr>
          <w:rFonts w:ascii="宋体" w:hAnsi="宋体" w:eastAsia="宋体" w:cstheme="minorEastAsia"/>
          <w:b/>
          <w:bCs/>
        </w:rPr>
      </w:pPr>
      <w:r>
        <w:rPr>
          <w:rFonts w:hint="eastAsia" w:ascii="宋体" w:hAnsi="宋体" w:eastAsia="宋体" w:cstheme="minorEastAsia"/>
          <w:b/>
          <w:bCs/>
        </w:rPr>
        <w:t>入选批次由专业技术类、技能类带头人申报人员选择本人入选后备人选时的批次，后备人选申报人员此项选择“无”。</w:t>
      </w:r>
    </w:p>
    <w:p>
      <w:pPr>
        <w:numPr>
          <w:ilvl w:val="0"/>
          <w:numId w:val="5"/>
        </w:numPr>
        <w:ind w:firstLine="482"/>
        <w:rPr>
          <w:rFonts w:asciiTheme="majorEastAsia" w:hAnsiTheme="majorEastAsia" w:eastAsiaTheme="majorEastAsia" w:cstheme="majorEastAsia"/>
          <w:b/>
          <w:bCs/>
        </w:rPr>
      </w:pPr>
      <w:r>
        <w:rPr>
          <w:rFonts w:hint="eastAsia" w:asciiTheme="majorEastAsia" w:hAnsiTheme="majorEastAsia" w:eastAsiaTheme="majorEastAsia" w:cstheme="majorEastAsia"/>
          <w:b/>
          <w:bCs/>
        </w:rPr>
        <w:t>所有上传的附件应为原件的扫描件或照片，若为复印件则须有单位盖章证明。上传的附件需确保文字、图形清晰可辨，不得涂改。</w:t>
      </w:r>
    </w:p>
    <w:p>
      <w:pPr>
        <w:numPr>
          <w:ilvl w:val="0"/>
          <w:numId w:val="5"/>
        </w:numPr>
        <w:ind w:firstLine="482"/>
        <w:rPr>
          <w:rFonts w:asciiTheme="majorEastAsia" w:hAnsiTheme="majorEastAsia" w:eastAsiaTheme="majorEastAsia" w:cstheme="majorEastAsia"/>
          <w:b/>
          <w:bCs/>
        </w:rPr>
      </w:pPr>
      <w:r>
        <w:rPr>
          <w:rFonts w:hint="eastAsia" w:asciiTheme="majorEastAsia" w:hAnsiTheme="majorEastAsia" w:eastAsiaTheme="majorEastAsia" w:cstheme="majorEastAsia"/>
          <w:b/>
          <w:bCs/>
        </w:rPr>
        <w:t>电话号码录入格式为：区号-八位电话号码，如“0551-12345678”。</w:t>
      </w:r>
    </w:p>
    <w:p>
      <w:pPr>
        <w:numPr>
          <w:ilvl w:val="0"/>
          <w:numId w:val="5"/>
        </w:numPr>
        <w:ind w:firstLine="482"/>
        <w:rPr>
          <w:rFonts w:asciiTheme="majorEastAsia" w:hAnsiTheme="majorEastAsia" w:eastAsiaTheme="majorEastAsia" w:cstheme="majorEastAsia"/>
          <w:b/>
          <w:bCs/>
        </w:rPr>
      </w:pPr>
      <w:r>
        <w:rPr>
          <w:rFonts w:hint="eastAsia" w:asciiTheme="majorEastAsia" w:hAnsiTheme="majorEastAsia" w:eastAsiaTheme="majorEastAsia" w:cstheme="majorEastAsia"/>
          <w:b/>
          <w:bCs/>
        </w:rPr>
        <w:t>系统中所设置的填报项目当申报人员不具有时，若为必填项，则填“无”，若为非必填项，请置空。如未取得学位，将“获得学位”录入项置空，则可不上传相应的学位证书。</w:t>
      </w:r>
    </w:p>
    <w:p>
      <w:pPr>
        <w:numPr>
          <w:ilvl w:val="0"/>
          <w:numId w:val="5"/>
        </w:numPr>
        <w:ind w:firstLine="482"/>
        <w:rPr>
          <w:rFonts w:asciiTheme="majorEastAsia" w:hAnsiTheme="majorEastAsia" w:eastAsiaTheme="majorEastAsia" w:cstheme="majorEastAsia"/>
          <w:b/>
          <w:bCs/>
        </w:rPr>
      </w:pPr>
      <w:r>
        <w:rPr>
          <w:rFonts w:hint="eastAsia" w:asciiTheme="majorEastAsia" w:hAnsiTheme="majorEastAsia" w:eastAsiaTheme="majorEastAsia" w:cstheme="majorEastAsia"/>
          <w:b/>
          <w:bCs/>
        </w:rPr>
        <w:t>点击已上传的附件，可进行附件名称的修改。请将所有附件以文件内容命名，如“身份证正面”、“学历证书”等。</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工作经历</w:t>
      </w:r>
    </w:p>
    <w:p>
      <w:pPr>
        <w:numPr>
          <w:ilvl w:val="0"/>
          <w:numId w:val="6"/>
        </w:numPr>
        <w:spacing w:after="156" w:afterLines="50"/>
        <w:ind w:firstLineChars="0"/>
        <w:rPr>
          <w:rFonts w:ascii="宋体" w:hAnsi="宋体" w:eastAsia="宋体" w:cs="宋体"/>
        </w:rPr>
      </w:pPr>
      <w:r>
        <w:rPr>
          <w:rFonts w:hint="eastAsia" w:ascii="宋体" w:hAnsi="宋体" w:eastAsia="宋体" w:cs="宋体"/>
        </w:rPr>
        <w:t>点击“新增”按钮，在弹出的新增记录框中选择工作经历的开始日期、结束日期，录入工作单位名称以及担任职务的相关情况，点击“保存”，可新增一条工作经历。</w:t>
      </w:r>
    </w:p>
    <w:p>
      <w:pPr>
        <w:numPr>
          <w:ilvl w:val="0"/>
          <w:numId w:val="6"/>
        </w:numPr>
        <w:spacing w:after="156" w:afterLines="50" w:line="240" w:lineRule="auto"/>
        <w:ind w:firstLineChars="0"/>
        <w:rPr>
          <w:rFonts w:ascii="宋体" w:hAnsi="宋体" w:eastAsia="宋体" w:cs="宋体"/>
        </w:rPr>
      </w:pPr>
      <w:r>
        <w:rPr>
          <w:rFonts w:hint="eastAsia" w:ascii="宋体" w:hAnsi="宋体" w:eastAsia="宋体" w:cs="宋体"/>
        </w:rPr>
        <w:t>若申报人员有多条工作经历，再次点击“新增”按钮进行填报即可。</w:t>
      </w:r>
    </w:p>
    <w:p>
      <w:pPr>
        <w:numPr>
          <w:ilvl w:val="0"/>
          <w:numId w:val="6"/>
        </w:numPr>
        <w:spacing w:after="156" w:afterLines="50" w:line="240" w:lineRule="auto"/>
        <w:ind w:firstLineChars="0"/>
        <w:rPr>
          <w:rFonts w:ascii="宋体" w:hAnsi="宋体" w:eastAsia="宋体" w:cs="宋体"/>
        </w:rPr>
      </w:pPr>
      <w:r>
        <w:rPr>
          <w:rFonts w:hint="eastAsia" w:ascii="宋体" w:hAnsi="宋体" w:eastAsia="宋体" w:cs="宋体"/>
        </w:rPr>
        <w:t>“新增”按钮右侧的“↑”、“↓”按钮可调整下方已填报的工作经历排序。</w:t>
      </w:r>
    </w:p>
    <w:p>
      <w:pPr>
        <w:numPr>
          <w:ilvl w:val="0"/>
          <w:numId w:val="6"/>
        </w:numPr>
        <w:spacing w:after="156" w:afterLines="50" w:line="240" w:lineRule="auto"/>
        <w:ind w:firstLineChars="0"/>
        <w:rPr>
          <w:rFonts w:ascii="宋体" w:hAnsi="宋体" w:eastAsia="宋体" w:cs="宋体"/>
        </w:rPr>
      </w:pPr>
      <w:r>
        <w:rPr>
          <w:rFonts w:hint="eastAsia" w:ascii="宋体" w:hAnsi="宋体" w:eastAsia="宋体" w:cs="宋体"/>
        </w:rPr>
        <w:t>填报记录后的“编辑”、“删除”按钮可对已填报记录进行修改、删除。</w:t>
      </w:r>
    </w:p>
    <w:p>
      <w:pPr>
        <w:spacing w:after="156" w:afterLines="50" w:line="240" w:lineRule="auto"/>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2-6</w:t>
      </w:r>
      <w:r>
        <w:rPr>
          <w:rFonts w:hint="eastAsia" w:ascii="宋体" w:hAnsi="宋体" w:eastAsia="宋体" w:cs="宋体"/>
        </w:rPr>
        <w:t>、图</w:t>
      </w:r>
      <w:r>
        <w:rPr>
          <w:rFonts w:ascii="宋体" w:hAnsi="宋体" w:eastAsia="宋体" w:cs="宋体"/>
        </w:rPr>
        <w:t>2-7</w:t>
      </w:r>
      <w:r>
        <w:rPr>
          <w:rFonts w:hint="eastAsia" w:ascii="宋体" w:hAnsi="宋体" w:eastAsia="宋体" w:cs="宋体"/>
        </w:rPr>
        <w:t>所示：</w:t>
      </w:r>
    </w:p>
    <w:p>
      <w:pPr>
        <w:spacing w:after="156" w:afterLines="50" w:line="240" w:lineRule="auto"/>
        <w:ind w:firstLine="0" w:firstLineChars="0"/>
        <w:rPr>
          <w:rFonts w:ascii="宋体" w:hAnsi="宋体" w:eastAsia="宋体" w:cs="宋体"/>
        </w:rPr>
      </w:pPr>
    </w:p>
    <w:p>
      <w:pPr>
        <w:spacing w:after="0"/>
        <w:ind w:firstLine="0" w:firstLineChars="0"/>
        <w:jc w:val="center"/>
        <w:rPr>
          <w:rFonts w:ascii="仿宋" w:hAnsi="仿宋" w:eastAsia="仿宋" w:cs="仿宋"/>
        </w:rPr>
      </w:pPr>
      <w:r>
        <w:drawing>
          <wp:inline distT="0" distB="0" distL="0" distR="0">
            <wp:extent cx="5560695" cy="2228215"/>
            <wp:effectExtent l="0" t="0" r="1905" b="635"/>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pic:cNvPicPr>
                  </pic:nvPicPr>
                  <pic:blipFill>
                    <a:blip r:embed="rId24"/>
                    <a:stretch>
                      <a:fillRect/>
                    </a:stretch>
                  </pic:blipFill>
                  <pic:spPr>
                    <a:xfrm>
                      <a:off x="0" y="0"/>
                      <a:ext cx="5560695" cy="2228215"/>
                    </a:xfrm>
                    <a:prstGeom prst="rect">
                      <a:avLst/>
                    </a:prstGeom>
                  </pic:spPr>
                </pic:pic>
              </a:graphicData>
            </a:graphic>
          </wp:inline>
        </w:drawing>
      </w:r>
    </w:p>
    <w:p>
      <w:pPr>
        <w:ind w:left="480" w:leftChars="200" w:firstLine="0" w:firstLineChars="0"/>
        <w:jc w:val="center"/>
        <w:rPr>
          <w:rFonts w:ascii="仿宋" w:hAnsi="仿宋" w:eastAsia="仿宋" w:cs="仿宋"/>
        </w:rPr>
      </w:pPr>
      <w:r>
        <w:rPr>
          <w:rFonts w:hint="eastAsia" w:ascii="宋体" w:hAnsi="宋体" w:eastAsia="宋体" w:cs="宋体"/>
        </w:rPr>
        <w:t>图</w:t>
      </w:r>
      <w:r>
        <w:rPr>
          <w:rFonts w:ascii="宋体" w:hAnsi="宋体" w:eastAsia="宋体" w:cs="宋体"/>
        </w:rPr>
        <w:t>2-6</w:t>
      </w:r>
      <w:r>
        <w:drawing>
          <wp:inline distT="0" distB="0" distL="0" distR="0">
            <wp:extent cx="5560695" cy="2456815"/>
            <wp:effectExtent l="0" t="0" r="1905" b="635"/>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25"/>
                    <a:stretch>
                      <a:fillRect/>
                    </a:stretch>
                  </pic:blipFill>
                  <pic:spPr>
                    <a:xfrm>
                      <a:off x="0" y="0"/>
                      <a:ext cx="5560695" cy="2456815"/>
                    </a:xfrm>
                    <a:prstGeom prst="rect">
                      <a:avLst/>
                    </a:prstGeom>
                  </pic:spPr>
                </pic:pic>
              </a:graphicData>
            </a:graphic>
          </wp:inline>
        </w:drawing>
      </w:r>
    </w:p>
    <w:p>
      <w:pPr>
        <w:ind w:left="480" w:leftChars="200" w:firstLine="0" w:firstLineChars="0"/>
        <w:jc w:val="center"/>
        <w:rPr>
          <w:rFonts w:hint="eastAsia" w:ascii="宋体" w:hAnsi="宋体" w:eastAsia="宋体" w:cs="宋体"/>
        </w:rPr>
      </w:pPr>
      <w:r>
        <w:rPr>
          <w:rFonts w:hint="eastAsia" w:ascii="宋体" w:hAnsi="宋体" w:eastAsia="宋体" w:cs="宋体"/>
        </w:rPr>
        <w:t>图</w:t>
      </w:r>
      <w:r>
        <w:rPr>
          <w:rFonts w:ascii="宋体" w:hAnsi="宋体" w:eastAsia="宋体" w:cs="宋体"/>
        </w:rPr>
        <w:t>2-7</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近五年获奖情况或专利</w:t>
      </w:r>
    </w:p>
    <w:p>
      <w:pPr>
        <w:numPr>
          <w:ilvl w:val="0"/>
          <w:numId w:val="7"/>
        </w:numPr>
        <w:spacing w:after="156" w:afterLines="50"/>
        <w:ind w:firstLineChars="0"/>
        <w:rPr>
          <w:rFonts w:ascii="宋体" w:hAnsi="宋体" w:eastAsia="宋体" w:cs="宋体"/>
        </w:rPr>
      </w:pPr>
      <w:r>
        <w:rPr>
          <w:rFonts w:hint="eastAsia" w:ascii="宋体" w:hAnsi="宋体" w:eastAsia="宋体" w:cs="宋体"/>
        </w:rPr>
        <w:t>点击“新增”按钮，在弹出的新增记录框中录入申报人员获奖项目名称、获奖类别、获奖等级、参与人数、奖项的授予部门以及获奖时间等信息，勾选是否排名，若“是”，填写本人排名，并上传相关证明附件，点击“保存”，可新增一条获奖情况。</w:t>
      </w:r>
    </w:p>
    <w:p>
      <w:pPr>
        <w:numPr>
          <w:ilvl w:val="0"/>
          <w:numId w:val="7"/>
        </w:numPr>
        <w:spacing w:after="156" w:afterLines="50"/>
        <w:ind w:firstLineChars="0"/>
        <w:rPr>
          <w:rFonts w:ascii="宋体" w:hAnsi="宋体" w:eastAsia="宋体" w:cs="宋体"/>
        </w:rPr>
      </w:pPr>
      <w:r>
        <w:rPr>
          <w:rFonts w:hint="eastAsia" w:ascii="宋体" w:hAnsi="宋体" w:eastAsia="宋体" w:cs="宋体"/>
        </w:rPr>
        <w:t>若申报人员有多次获奖情况或专利记录，再次点击“新增”按钮进行填报即可。</w:t>
      </w:r>
    </w:p>
    <w:p>
      <w:pPr>
        <w:numPr>
          <w:ilvl w:val="0"/>
          <w:numId w:val="7"/>
        </w:numPr>
        <w:spacing w:after="156" w:afterLines="50"/>
        <w:ind w:firstLineChars="0"/>
        <w:rPr>
          <w:rFonts w:ascii="宋体" w:hAnsi="宋体" w:eastAsia="宋体" w:cs="宋体"/>
        </w:rPr>
      </w:pPr>
      <w:r>
        <w:rPr>
          <w:rFonts w:hint="eastAsia" w:ascii="宋体" w:hAnsi="宋体" w:eastAsia="宋体" w:cs="宋体"/>
        </w:rPr>
        <w:t>“新增”按钮右侧的“↑”、“↓”按钮可调整下方已填报的获奖情况排序。</w:t>
      </w:r>
    </w:p>
    <w:p>
      <w:pPr>
        <w:numPr>
          <w:ilvl w:val="0"/>
          <w:numId w:val="7"/>
        </w:numPr>
        <w:spacing w:after="156" w:afterLines="50"/>
        <w:ind w:firstLineChars="0"/>
        <w:rPr>
          <w:rFonts w:ascii="宋体" w:hAnsi="宋体" w:eastAsia="宋体" w:cs="宋体"/>
        </w:rPr>
      </w:pPr>
      <w:r>
        <w:rPr>
          <w:rFonts w:hint="eastAsia" w:ascii="宋体" w:hAnsi="宋体" w:eastAsia="宋体" w:cs="宋体"/>
        </w:rPr>
        <w:t>填报记录后的“编辑”、“删除”按钮可对已填报记录进行修改、删除。</w:t>
      </w:r>
    </w:p>
    <w:p>
      <w:pPr>
        <w:numPr>
          <w:ilvl w:val="0"/>
          <w:numId w:val="7"/>
        </w:numPr>
        <w:spacing w:after="156" w:afterLines="50"/>
        <w:ind w:firstLineChars="0"/>
        <w:rPr>
          <w:rFonts w:asciiTheme="majorEastAsia" w:hAnsiTheme="majorEastAsia" w:eastAsiaTheme="majorEastAsia" w:cstheme="majorEastAsia"/>
        </w:rPr>
      </w:pPr>
      <w:r>
        <w:rPr>
          <w:rFonts w:hint="eastAsia" w:asciiTheme="majorEastAsia" w:hAnsiTheme="majorEastAsia" w:eastAsiaTheme="majorEastAsia" w:cstheme="majorEastAsia"/>
        </w:rPr>
        <w:t>点击“相关附件”下的数字，可以查看已上传的附件。</w:t>
      </w:r>
    </w:p>
    <w:p>
      <w:pPr>
        <w:spacing w:after="156" w:afterLines="50" w:line="240" w:lineRule="auto"/>
        <w:ind w:firstLine="0" w:firstLineChars="0"/>
        <w:rPr>
          <w:rFonts w:hint="eastAsia" w:ascii="仿宋" w:hAnsi="仿宋" w:eastAsia="仿宋" w:cs="仿宋"/>
        </w:rPr>
      </w:pPr>
      <w:r>
        <w:rPr>
          <w:rFonts w:hint="eastAsia" w:asciiTheme="majorEastAsia" w:hAnsiTheme="majorEastAsia" w:eastAsiaTheme="majorEastAsia" w:cstheme="majorEastAsia"/>
        </w:rPr>
        <w:t>如图</w:t>
      </w:r>
      <w:r>
        <w:rPr>
          <w:rFonts w:asciiTheme="majorEastAsia" w:hAnsiTheme="majorEastAsia" w:eastAsiaTheme="majorEastAsia" w:cstheme="majorEastAsia"/>
        </w:rPr>
        <w:t>2-8</w:t>
      </w:r>
      <w:r>
        <w:rPr>
          <w:rFonts w:hint="eastAsia" w:asciiTheme="majorEastAsia" w:hAnsiTheme="majorEastAsia" w:eastAsiaTheme="majorEastAsia" w:cstheme="majorEastAsia"/>
        </w:rPr>
        <w:t>、图</w:t>
      </w:r>
      <w:r>
        <w:rPr>
          <w:rFonts w:asciiTheme="majorEastAsia" w:hAnsiTheme="majorEastAsia" w:eastAsiaTheme="majorEastAsia" w:cstheme="majorEastAsia"/>
        </w:rPr>
        <w:t>2-9</w:t>
      </w:r>
      <w:r>
        <w:rPr>
          <w:rFonts w:hint="eastAsia" w:asciiTheme="majorEastAsia" w:hAnsiTheme="majorEastAsia" w:eastAsiaTheme="majorEastAsia" w:cstheme="majorEastAsia"/>
        </w:rPr>
        <w:t>所示：</w:t>
      </w:r>
    </w:p>
    <w:p>
      <w:pPr>
        <w:spacing w:after="0"/>
        <w:ind w:firstLine="0" w:firstLineChars="0"/>
        <w:jc w:val="center"/>
        <w:rPr>
          <w:rFonts w:ascii="仿宋" w:hAnsi="仿宋" w:eastAsia="仿宋" w:cs="仿宋"/>
        </w:rPr>
      </w:pPr>
      <w:r>
        <w:drawing>
          <wp:inline distT="0" distB="0" distL="0" distR="0">
            <wp:extent cx="5560695" cy="2339340"/>
            <wp:effectExtent l="0" t="0" r="1905" b="381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26"/>
                    <a:stretch>
                      <a:fillRect/>
                    </a:stretch>
                  </pic:blipFill>
                  <pic:spPr>
                    <a:xfrm>
                      <a:off x="0" y="0"/>
                      <a:ext cx="5560695" cy="233934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2-8</w:t>
      </w:r>
    </w:p>
    <w:p>
      <w:pPr>
        <w:spacing w:after="0"/>
        <w:ind w:firstLine="0" w:firstLineChars="0"/>
        <w:jc w:val="center"/>
        <w:rPr>
          <w:rFonts w:ascii="仿宋" w:hAnsi="仿宋" w:eastAsia="仿宋" w:cs="仿宋"/>
        </w:rPr>
      </w:pPr>
      <w:r>
        <w:drawing>
          <wp:inline distT="0" distB="0" distL="0" distR="0">
            <wp:extent cx="5560695" cy="2853690"/>
            <wp:effectExtent l="0" t="0" r="1905" b="381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27"/>
                    <a:stretch>
                      <a:fillRect/>
                    </a:stretch>
                  </pic:blipFill>
                  <pic:spPr>
                    <a:xfrm>
                      <a:off x="0" y="0"/>
                      <a:ext cx="5560695" cy="285369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2-9</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近五年获得荣誉情况</w:t>
      </w:r>
    </w:p>
    <w:p>
      <w:pPr>
        <w:numPr>
          <w:ilvl w:val="0"/>
          <w:numId w:val="8"/>
        </w:numPr>
        <w:spacing w:after="156" w:afterLines="50"/>
        <w:ind w:firstLineChars="0"/>
        <w:rPr>
          <w:rFonts w:ascii="宋体" w:hAnsi="宋体" w:eastAsia="宋体" w:cs="宋体"/>
        </w:rPr>
      </w:pPr>
      <w:r>
        <w:rPr>
          <w:rFonts w:hint="eastAsia" w:ascii="宋体" w:hAnsi="宋体" w:eastAsia="宋体" w:cs="宋体"/>
        </w:rPr>
        <w:t>点击“新增”按钮，在弹出的新增记录框中录入申报人员获得的荣誉名称、荣誉级别、授予时间、颁发单位等信息，并上传相关证明附件，点击“保存”，可新增一条获得荣誉情况。</w:t>
      </w:r>
    </w:p>
    <w:p>
      <w:pPr>
        <w:numPr>
          <w:ilvl w:val="0"/>
          <w:numId w:val="8"/>
        </w:numPr>
        <w:spacing w:after="156" w:afterLines="50"/>
        <w:ind w:firstLineChars="0"/>
        <w:rPr>
          <w:rFonts w:ascii="宋体" w:hAnsi="宋体" w:eastAsia="宋体" w:cs="宋体"/>
        </w:rPr>
      </w:pPr>
      <w:r>
        <w:rPr>
          <w:rFonts w:hint="eastAsia" w:ascii="宋体" w:hAnsi="宋体" w:eastAsia="宋体" w:cs="宋体"/>
        </w:rPr>
        <w:t>若申报人员有多次获得荣誉记录，再次点击“新增”按钮进行填报即可。</w:t>
      </w:r>
    </w:p>
    <w:p>
      <w:pPr>
        <w:numPr>
          <w:ilvl w:val="0"/>
          <w:numId w:val="8"/>
        </w:numPr>
        <w:spacing w:after="156" w:afterLines="50"/>
        <w:ind w:firstLineChars="0"/>
        <w:rPr>
          <w:rFonts w:ascii="宋体" w:hAnsi="宋体" w:eastAsia="宋体" w:cs="宋体"/>
        </w:rPr>
      </w:pPr>
      <w:r>
        <w:rPr>
          <w:rFonts w:hint="eastAsia" w:ascii="宋体" w:hAnsi="宋体" w:eastAsia="宋体" w:cs="宋体"/>
        </w:rPr>
        <w:t>“新增”按钮右侧的“↑”、“↓”按钮可调整下方已填报的获得荣誉情况排序。</w:t>
      </w:r>
    </w:p>
    <w:p>
      <w:pPr>
        <w:numPr>
          <w:ilvl w:val="0"/>
          <w:numId w:val="8"/>
        </w:numPr>
        <w:spacing w:after="156" w:afterLines="50"/>
        <w:ind w:firstLineChars="0"/>
        <w:rPr>
          <w:rFonts w:ascii="仿宋" w:hAnsi="仿宋" w:eastAsia="仿宋" w:cs="仿宋"/>
        </w:rPr>
      </w:pPr>
      <w:r>
        <w:rPr>
          <w:rFonts w:hint="eastAsia" w:ascii="宋体" w:hAnsi="宋体" w:eastAsia="宋体" w:cs="宋体"/>
        </w:rPr>
        <w:t>填报记录后的“编辑”、“删除”按钮可对已填报记录进行修改、删除。</w:t>
      </w:r>
    </w:p>
    <w:p>
      <w:pPr>
        <w:numPr>
          <w:ilvl w:val="0"/>
          <w:numId w:val="7"/>
        </w:numPr>
        <w:spacing w:after="156" w:afterLines="50" w:line="240" w:lineRule="auto"/>
        <w:ind w:firstLineChars="0"/>
        <w:rPr>
          <w:rFonts w:ascii="宋体" w:hAnsi="宋体" w:eastAsia="宋体" w:cs="宋体"/>
        </w:rPr>
      </w:pPr>
      <w:r>
        <w:rPr>
          <w:rFonts w:hint="eastAsia" w:ascii="宋体" w:hAnsi="宋体" w:eastAsia="宋体" w:cs="宋体"/>
        </w:rPr>
        <w:t>点击“相关附件”下的数字，可以查看已上传的附件。</w:t>
      </w:r>
    </w:p>
    <w:p>
      <w:pPr>
        <w:spacing w:after="156" w:afterLines="50" w:line="240" w:lineRule="auto"/>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2-10</w:t>
      </w:r>
      <w:r>
        <w:rPr>
          <w:rFonts w:hint="eastAsia" w:ascii="宋体" w:hAnsi="宋体" w:eastAsia="宋体" w:cs="宋体"/>
        </w:rPr>
        <w:t>、图</w:t>
      </w:r>
      <w:r>
        <w:rPr>
          <w:rFonts w:ascii="宋体" w:hAnsi="宋体" w:eastAsia="宋体" w:cs="宋体"/>
        </w:rPr>
        <w:t>2-11</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2316480"/>
            <wp:effectExtent l="0" t="0" r="1905" b="7620"/>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28"/>
                    <a:stretch>
                      <a:fillRect/>
                    </a:stretch>
                  </pic:blipFill>
                  <pic:spPr>
                    <a:xfrm>
                      <a:off x="0" y="0"/>
                      <a:ext cx="5560695" cy="231648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2-10</w:t>
      </w:r>
    </w:p>
    <w:p>
      <w:pPr>
        <w:spacing w:after="0"/>
        <w:ind w:firstLine="0" w:firstLineChars="0"/>
        <w:jc w:val="center"/>
        <w:rPr>
          <w:rFonts w:ascii="仿宋" w:hAnsi="仿宋" w:eastAsia="仿宋" w:cs="仿宋"/>
        </w:rPr>
      </w:pPr>
      <w:r>
        <w:drawing>
          <wp:inline distT="0" distB="0" distL="0" distR="0">
            <wp:extent cx="5560695" cy="2637790"/>
            <wp:effectExtent l="0" t="0" r="1905" b="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29"/>
                    <a:stretch>
                      <a:fillRect/>
                    </a:stretch>
                  </pic:blipFill>
                  <pic:spPr>
                    <a:xfrm>
                      <a:off x="0" y="0"/>
                      <a:ext cx="5560695" cy="263779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2-11</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论文、著作情况</w:t>
      </w:r>
    </w:p>
    <w:p>
      <w:pPr>
        <w:numPr>
          <w:ilvl w:val="0"/>
          <w:numId w:val="9"/>
        </w:numPr>
        <w:spacing w:after="156" w:afterLines="50"/>
        <w:ind w:firstLineChars="0"/>
        <w:rPr>
          <w:rFonts w:ascii="宋体" w:hAnsi="宋体" w:eastAsia="宋体" w:cs="宋体"/>
        </w:rPr>
      </w:pPr>
      <w:r>
        <w:rPr>
          <w:rFonts w:hint="eastAsia" w:ascii="宋体" w:hAnsi="宋体" w:eastAsia="宋体" w:cs="宋体"/>
        </w:rPr>
        <w:t>点击“新增”，录入申报人员的论著名称、发表时间、发表的（书刊）号、论著类型、刊物名称、本人排名以及参与人数等信息，并上传相关证明附件，点击“保存”，可新增一条论文、著作情况。</w:t>
      </w:r>
    </w:p>
    <w:p>
      <w:pPr>
        <w:numPr>
          <w:ilvl w:val="0"/>
          <w:numId w:val="9"/>
        </w:numPr>
        <w:spacing w:after="156" w:afterLines="50"/>
        <w:ind w:firstLineChars="0"/>
        <w:rPr>
          <w:rFonts w:ascii="宋体" w:hAnsi="宋体" w:eastAsia="宋体" w:cs="宋体"/>
        </w:rPr>
      </w:pPr>
      <w:r>
        <w:rPr>
          <w:rFonts w:hint="eastAsia" w:ascii="宋体" w:hAnsi="宋体" w:eastAsia="宋体" w:cs="宋体"/>
        </w:rPr>
        <w:t>若申报人员有多篇论文、著作发表记录，再次点击“新增”按钮进行填报即可。</w:t>
      </w:r>
    </w:p>
    <w:p>
      <w:pPr>
        <w:numPr>
          <w:ilvl w:val="0"/>
          <w:numId w:val="9"/>
        </w:numPr>
        <w:spacing w:after="156" w:afterLines="50"/>
        <w:ind w:firstLineChars="0"/>
        <w:rPr>
          <w:rFonts w:ascii="宋体" w:hAnsi="宋体" w:eastAsia="宋体" w:cs="宋体"/>
        </w:rPr>
      </w:pPr>
      <w:r>
        <w:rPr>
          <w:rFonts w:hint="eastAsia" w:ascii="宋体" w:hAnsi="宋体" w:eastAsia="宋体" w:cs="宋体"/>
        </w:rPr>
        <w:t>“新增”按钮右侧的“↑”、“↓”按钮可调整下方已填报的论文发表情况排序。</w:t>
      </w:r>
    </w:p>
    <w:p>
      <w:pPr>
        <w:numPr>
          <w:ilvl w:val="0"/>
          <w:numId w:val="9"/>
        </w:numPr>
        <w:spacing w:after="156" w:afterLines="50"/>
        <w:ind w:firstLineChars="0"/>
        <w:rPr>
          <w:rFonts w:ascii="宋体" w:hAnsi="宋体" w:eastAsia="宋体" w:cs="宋体"/>
        </w:rPr>
      </w:pPr>
      <w:r>
        <w:rPr>
          <w:rFonts w:hint="eastAsia" w:ascii="宋体" w:hAnsi="宋体" w:eastAsia="宋体" w:cs="宋体"/>
        </w:rPr>
        <w:t>填报记录后的“编辑”、“删除”按钮可对已填报记录进行修改、删除。</w:t>
      </w:r>
    </w:p>
    <w:p>
      <w:pPr>
        <w:numPr>
          <w:ilvl w:val="0"/>
          <w:numId w:val="7"/>
        </w:numPr>
        <w:spacing w:after="156" w:afterLines="50"/>
        <w:ind w:firstLineChars="0"/>
        <w:rPr>
          <w:rFonts w:ascii="宋体" w:hAnsi="宋体" w:eastAsia="宋体" w:cs="宋体"/>
        </w:rPr>
      </w:pPr>
      <w:r>
        <w:rPr>
          <w:rFonts w:hint="eastAsia" w:ascii="宋体" w:hAnsi="宋体" w:eastAsia="宋体" w:cs="宋体"/>
        </w:rPr>
        <w:t>点击“相关附件”下的数字，可以查看已上传的附件。</w:t>
      </w:r>
    </w:p>
    <w:p>
      <w:pPr>
        <w:spacing w:after="156" w:afterLines="50"/>
        <w:ind w:firstLine="0" w:firstLineChars="0"/>
        <w:rPr>
          <w:rFonts w:ascii="宋体" w:hAnsi="宋体" w:eastAsia="宋体" w:cs="宋体"/>
        </w:rPr>
      </w:pPr>
      <w:r>
        <w:rPr>
          <w:rFonts w:hint="eastAsia" w:ascii="宋体" w:hAnsi="宋体" w:eastAsia="宋体" w:cs="宋体"/>
        </w:rPr>
        <w:t xml:space="preserve">如图 </w:t>
      </w:r>
      <w:r>
        <w:rPr>
          <w:rFonts w:ascii="宋体" w:hAnsi="宋体" w:eastAsia="宋体" w:cs="宋体"/>
        </w:rPr>
        <w:t>2-12</w:t>
      </w:r>
      <w:r>
        <w:rPr>
          <w:rFonts w:hint="eastAsia" w:ascii="宋体" w:hAnsi="宋体" w:eastAsia="宋体" w:cs="宋体"/>
        </w:rPr>
        <w:t>、图</w:t>
      </w:r>
      <w:r>
        <w:rPr>
          <w:rFonts w:ascii="宋体" w:hAnsi="宋体" w:eastAsia="宋体" w:cs="宋体"/>
        </w:rPr>
        <w:t>2-13</w:t>
      </w:r>
      <w:r>
        <w:rPr>
          <w:rFonts w:hint="eastAsia" w:ascii="宋体" w:hAnsi="宋体" w:eastAsia="宋体" w:cs="宋体"/>
        </w:rPr>
        <w:t>所示：</w:t>
      </w:r>
    </w:p>
    <w:p>
      <w:pPr>
        <w:ind w:firstLine="0" w:firstLineChars="0"/>
        <w:rPr>
          <w:rFonts w:ascii="仿宋" w:hAnsi="仿宋" w:eastAsia="仿宋" w:cs="仿宋"/>
        </w:rPr>
      </w:pPr>
      <w:r>
        <w:rPr>
          <w:rFonts w:hint="eastAsia" w:ascii="仿宋" w:hAnsi="仿宋" w:eastAsia="仿宋" w:cs="仿宋"/>
          <w:b/>
          <w:bCs/>
          <w:color w:val="C00000"/>
          <w:sz w:val="28"/>
          <w:szCs w:val="28"/>
        </w:rPr>
        <w:t>注意：</w:t>
      </w:r>
      <w:r>
        <w:rPr>
          <w:rFonts w:hint="eastAsia" w:ascii="宋体" w:hAnsi="宋体" w:eastAsia="宋体" w:cstheme="minorEastAsia"/>
          <w:b/>
          <w:bCs/>
        </w:rPr>
        <w:t>上传的论文证明附件需要包含刊物封面、目录页以及本人发表的论文页等。</w:t>
      </w:r>
    </w:p>
    <w:p>
      <w:pPr>
        <w:spacing w:after="0"/>
        <w:ind w:firstLine="0" w:firstLineChars="0"/>
        <w:jc w:val="center"/>
        <w:rPr>
          <w:rFonts w:ascii="仿宋" w:hAnsi="仿宋" w:eastAsia="仿宋" w:cs="仿宋"/>
        </w:rPr>
      </w:pPr>
      <w:r>
        <w:drawing>
          <wp:inline distT="0" distB="0" distL="0" distR="0">
            <wp:extent cx="5560695" cy="2928620"/>
            <wp:effectExtent l="0" t="0" r="1905" b="508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30"/>
                    <a:stretch>
                      <a:fillRect/>
                    </a:stretch>
                  </pic:blipFill>
                  <pic:spPr>
                    <a:xfrm>
                      <a:off x="0" y="0"/>
                      <a:ext cx="5560695" cy="292862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2-12</w:t>
      </w:r>
    </w:p>
    <w:p>
      <w:pPr>
        <w:spacing w:after="0"/>
        <w:ind w:firstLine="0" w:firstLineChars="0"/>
        <w:jc w:val="center"/>
        <w:rPr>
          <w:rFonts w:ascii="仿宋" w:hAnsi="仿宋" w:eastAsia="仿宋" w:cs="仿宋"/>
        </w:rPr>
      </w:pPr>
      <w:r>
        <w:drawing>
          <wp:inline distT="0" distB="0" distL="0" distR="0">
            <wp:extent cx="5560695" cy="2761615"/>
            <wp:effectExtent l="0" t="0" r="1905" b="635"/>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31"/>
                    <a:stretch>
                      <a:fillRect/>
                    </a:stretch>
                  </pic:blipFill>
                  <pic:spPr>
                    <a:xfrm>
                      <a:off x="0" y="0"/>
                      <a:ext cx="5560695" cy="276161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2-13</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正在从事的科研（课题）</w:t>
      </w:r>
    </w:p>
    <w:p>
      <w:pPr>
        <w:numPr>
          <w:ilvl w:val="0"/>
          <w:numId w:val="10"/>
        </w:numPr>
        <w:spacing w:after="156" w:afterLines="50"/>
        <w:ind w:firstLineChars="0"/>
        <w:rPr>
          <w:rFonts w:ascii="宋体" w:hAnsi="宋体" w:eastAsia="宋体" w:cs="宋体"/>
        </w:rPr>
      </w:pPr>
      <w:r>
        <w:rPr>
          <w:rFonts w:hint="eastAsia" w:ascii="宋体" w:hAnsi="宋体" w:eastAsia="宋体" w:cs="宋体"/>
        </w:rPr>
        <w:t>点击“新增”，录入正在从事的科研项目（课题）名称、年度等信息，并上传相关证明附件，点击“保存”即可。</w:t>
      </w:r>
    </w:p>
    <w:p>
      <w:pPr>
        <w:numPr>
          <w:ilvl w:val="0"/>
          <w:numId w:val="10"/>
        </w:numPr>
        <w:spacing w:after="156" w:afterLines="50"/>
        <w:ind w:firstLineChars="0"/>
        <w:rPr>
          <w:rFonts w:ascii="宋体" w:hAnsi="宋体" w:eastAsia="宋体" w:cs="宋体"/>
        </w:rPr>
      </w:pPr>
      <w:r>
        <w:rPr>
          <w:rFonts w:hint="eastAsia" w:ascii="宋体" w:hAnsi="宋体" w:eastAsia="宋体" w:cs="宋体"/>
        </w:rPr>
        <w:t>若申报人员有多个正在从事的科研（课题），再次点击“新增”按钮进行填报即可。</w:t>
      </w:r>
    </w:p>
    <w:p>
      <w:pPr>
        <w:numPr>
          <w:ilvl w:val="0"/>
          <w:numId w:val="10"/>
        </w:numPr>
        <w:spacing w:after="156" w:afterLines="50"/>
        <w:ind w:firstLineChars="0"/>
        <w:rPr>
          <w:rFonts w:ascii="宋体" w:hAnsi="宋体" w:eastAsia="宋体" w:cs="宋体"/>
        </w:rPr>
      </w:pPr>
      <w:r>
        <w:rPr>
          <w:rFonts w:hint="eastAsia" w:ascii="宋体" w:hAnsi="宋体" w:eastAsia="宋体" w:cs="宋体"/>
        </w:rPr>
        <w:t>“新增”按钮右侧的“↑”、“↓”按钮可调整下方已填报的项目情况排序。</w:t>
      </w:r>
    </w:p>
    <w:p>
      <w:pPr>
        <w:numPr>
          <w:ilvl w:val="0"/>
          <w:numId w:val="10"/>
        </w:numPr>
        <w:spacing w:after="156" w:afterLines="50"/>
        <w:ind w:firstLineChars="0"/>
        <w:rPr>
          <w:rFonts w:ascii="宋体" w:hAnsi="宋体" w:eastAsia="宋体" w:cs="宋体"/>
        </w:rPr>
      </w:pPr>
      <w:r>
        <w:rPr>
          <w:rFonts w:hint="eastAsia" w:ascii="宋体" w:hAnsi="宋体" w:eastAsia="宋体" w:cs="宋体"/>
        </w:rPr>
        <w:t>填报记录后的“编辑”、“删除”按钮可对已填报记录进行修改、删除。</w:t>
      </w:r>
    </w:p>
    <w:p>
      <w:pPr>
        <w:numPr>
          <w:ilvl w:val="0"/>
          <w:numId w:val="7"/>
        </w:numPr>
        <w:spacing w:after="156" w:afterLines="50"/>
        <w:ind w:firstLineChars="0"/>
        <w:rPr>
          <w:rFonts w:ascii="宋体" w:hAnsi="宋体" w:eastAsia="宋体" w:cs="宋体"/>
        </w:rPr>
      </w:pPr>
      <w:r>
        <w:rPr>
          <w:rFonts w:hint="eastAsia" w:ascii="宋体" w:hAnsi="宋体" w:eastAsia="宋体" w:cs="宋体"/>
        </w:rPr>
        <w:t>点击“相关附件”下的数字，可以查看已上传的附件。</w:t>
      </w:r>
    </w:p>
    <w:p>
      <w:pPr>
        <w:spacing w:after="156" w:afterLines="50"/>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w:t>
      </w:r>
      <w:r>
        <w:rPr>
          <w:rFonts w:hint="eastAsia" w:ascii="宋体" w:hAnsi="宋体" w:eastAsia="宋体" w:cs="宋体"/>
        </w:rPr>
        <w:t>-1</w:t>
      </w:r>
      <w:r>
        <w:rPr>
          <w:rFonts w:ascii="宋体" w:hAnsi="宋体" w:eastAsia="宋体" w:cs="宋体"/>
        </w:rPr>
        <w:t>4</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2369185"/>
            <wp:effectExtent l="0" t="0" r="1905" b="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32"/>
                    <a:stretch>
                      <a:fillRect/>
                    </a:stretch>
                  </pic:blipFill>
                  <pic:spPr>
                    <a:xfrm>
                      <a:off x="0" y="0"/>
                      <a:ext cx="5560695" cy="236918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图2</w:t>
      </w:r>
      <w:r>
        <w:rPr>
          <w:rFonts w:ascii="宋体" w:hAnsi="宋体" w:eastAsia="宋体" w:cs="宋体"/>
        </w:rPr>
        <w:t>-14</w:t>
      </w:r>
    </w:p>
    <w:p>
      <w:pPr>
        <w:numPr>
          <w:ilvl w:val="0"/>
          <w:numId w:val="11"/>
        </w:numPr>
        <w:spacing w:after="156" w:afterLines="50"/>
        <w:ind w:firstLine="480"/>
        <w:rPr>
          <w:rFonts w:ascii="宋体" w:hAnsi="宋体" w:eastAsia="宋体" w:cs="宋体"/>
        </w:rPr>
      </w:pPr>
      <w:r>
        <w:rPr>
          <w:rFonts w:hint="eastAsia" w:ascii="宋体" w:hAnsi="宋体" w:eastAsia="宋体" w:cs="宋体"/>
        </w:rPr>
        <w:t>若该项目尚未获得奖项，则选择“是否获奖”后的“否”，录入课题简介情况，并上传相关证明附件，点击“保存”，可新增一条正在从事的科研（课题）情况。如图</w:t>
      </w:r>
      <w:r>
        <w:rPr>
          <w:rFonts w:ascii="宋体" w:hAnsi="宋体" w:eastAsia="宋体" w:cs="宋体"/>
        </w:rPr>
        <w:t>2-15</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2930525"/>
            <wp:effectExtent l="0" t="0" r="1905" b="3175"/>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33"/>
                    <a:stretch>
                      <a:fillRect/>
                    </a:stretch>
                  </pic:blipFill>
                  <pic:spPr>
                    <a:xfrm>
                      <a:off x="0" y="0"/>
                      <a:ext cx="5560695" cy="293052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2-15</w:t>
      </w:r>
    </w:p>
    <w:p>
      <w:pPr>
        <w:numPr>
          <w:ilvl w:val="0"/>
          <w:numId w:val="11"/>
        </w:numPr>
        <w:spacing w:after="156" w:afterLines="50"/>
        <w:ind w:firstLine="480"/>
        <w:rPr>
          <w:rFonts w:ascii="宋体" w:hAnsi="宋体" w:eastAsia="宋体" w:cs="宋体"/>
        </w:rPr>
      </w:pPr>
      <w:r>
        <w:rPr>
          <w:rFonts w:hint="eastAsia" w:ascii="宋体" w:hAnsi="宋体" w:eastAsia="宋体" w:cs="宋体"/>
        </w:rPr>
        <w:t>若该项目已获得某个奖项，则选择“是否获奖”后的“是”，录入获奖名称、本人排名、参与人数、课题简介等，并上传相关证明附件。点击“保存”，可新增一条正在从事的科研（课题）情况。如图</w:t>
      </w:r>
      <w:r>
        <w:rPr>
          <w:rFonts w:ascii="宋体" w:hAnsi="宋体" w:eastAsia="宋体" w:cs="宋体"/>
        </w:rPr>
        <w:t>2-16</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3446780"/>
            <wp:effectExtent l="0" t="0" r="1905" b="127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34"/>
                    <a:stretch>
                      <a:fillRect/>
                    </a:stretch>
                  </pic:blipFill>
                  <pic:spPr>
                    <a:xfrm>
                      <a:off x="0" y="0"/>
                      <a:ext cx="5560695" cy="344678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2-16</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主要突出贡献事迹</w:t>
      </w:r>
    </w:p>
    <w:p>
      <w:pPr>
        <w:numPr>
          <w:ilvl w:val="0"/>
          <w:numId w:val="12"/>
        </w:numPr>
        <w:spacing w:after="156" w:afterLines="50"/>
        <w:ind w:firstLineChars="0"/>
        <w:rPr>
          <w:rFonts w:ascii="宋体" w:hAnsi="宋体" w:eastAsia="宋体" w:cs="宋体"/>
        </w:rPr>
      </w:pPr>
      <w:r>
        <w:rPr>
          <w:rFonts w:hint="eastAsia" w:ascii="宋体" w:hAnsi="宋体" w:eastAsia="宋体" w:cs="宋体"/>
        </w:rPr>
        <w:t>录入申报人员的主要突出贡献事迹（不得超过800字），点击“保存”即可。</w:t>
      </w:r>
    </w:p>
    <w:p>
      <w:pPr>
        <w:spacing w:after="156" w:afterLines="50"/>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2-17</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3291205"/>
            <wp:effectExtent l="0" t="0" r="1905" b="444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35"/>
                    <a:stretch>
                      <a:fillRect/>
                    </a:stretch>
                  </pic:blipFill>
                  <pic:spPr>
                    <a:xfrm>
                      <a:off x="0" y="0"/>
                      <a:ext cx="5560695" cy="329120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2-17</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其他说明</w:t>
      </w:r>
    </w:p>
    <w:p>
      <w:pPr>
        <w:numPr>
          <w:ilvl w:val="0"/>
          <w:numId w:val="13"/>
        </w:numPr>
        <w:spacing w:after="156" w:afterLines="50"/>
        <w:ind w:firstLineChars="0"/>
        <w:rPr>
          <w:rFonts w:ascii="宋体" w:hAnsi="宋体" w:eastAsia="宋体" w:cs="宋体"/>
        </w:rPr>
      </w:pPr>
      <w:r>
        <w:rPr>
          <w:rFonts w:hint="eastAsia" w:ascii="宋体" w:hAnsi="宋体" w:eastAsia="宋体" w:cs="宋体"/>
        </w:rPr>
        <w:t>填写申报人员其他情况说明（不得超过5</w:t>
      </w:r>
      <w:r>
        <w:rPr>
          <w:rFonts w:ascii="宋体" w:hAnsi="宋体" w:eastAsia="宋体" w:cs="宋体"/>
        </w:rPr>
        <w:t>00</w:t>
      </w:r>
      <w:r>
        <w:rPr>
          <w:rFonts w:hint="eastAsia" w:ascii="宋体" w:hAnsi="宋体" w:eastAsia="宋体" w:cs="宋体"/>
        </w:rPr>
        <w:t>字），点击“保存”即可。</w:t>
      </w:r>
    </w:p>
    <w:p>
      <w:pPr>
        <w:spacing w:after="156" w:afterLines="50"/>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2-18</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2898775"/>
            <wp:effectExtent l="0" t="0" r="1905" b="0"/>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36"/>
                    <a:stretch>
                      <a:fillRect/>
                    </a:stretch>
                  </pic:blipFill>
                  <pic:spPr>
                    <a:xfrm>
                      <a:off x="0" y="0"/>
                      <a:ext cx="5560695" cy="289877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2-18</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附件一览表</w:t>
      </w:r>
    </w:p>
    <w:p>
      <w:pPr>
        <w:numPr>
          <w:ilvl w:val="0"/>
          <w:numId w:val="14"/>
        </w:numPr>
        <w:spacing w:after="156" w:afterLines="50"/>
        <w:ind w:firstLineChars="0"/>
        <w:rPr>
          <w:rFonts w:ascii="宋体" w:hAnsi="宋体" w:eastAsia="宋体" w:cs="宋体"/>
        </w:rPr>
      </w:pPr>
      <w:r>
        <w:rPr>
          <w:rFonts w:hint="eastAsia" w:ascii="宋体" w:hAnsi="宋体" w:eastAsia="宋体" w:cs="宋体"/>
        </w:rPr>
        <w:t>该页面可以查看所有已上传的附件相关情况。点击“查看附件”，可以查看附件原图，点击图片可以放大或缩小查看情况。</w:t>
      </w:r>
    </w:p>
    <w:p>
      <w:pPr>
        <w:spacing w:after="156" w:afterLines="50"/>
        <w:ind w:firstLine="0" w:firstLineChars="0"/>
        <w:rPr>
          <w:rFonts w:ascii="仿宋" w:hAnsi="仿宋" w:eastAsia="仿宋" w:cs="仿宋"/>
        </w:rPr>
      </w:pPr>
      <w:r>
        <w:rPr>
          <w:rFonts w:hint="eastAsia" w:ascii="宋体" w:hAnsi="宋体" w:eastAsia="宋体" w:cs="宋体"/>
        </w:rPr>
        <w:t>如图</w:t>
      </w:r>
      <w:r>
        <w:rPr>
          <w:rFonts w:ascii="宋体" w:hAnsi="宋体" w:eastAsia="宋体" w:cs="宋体"/>
        </w:rPr>
        <w:t>2-19</w:t>
      </w:r>
      <w:r>
        <w:rPr>
          <w:rFonts w:hint="eastAsia" w:ascii="宋体" w:hAnsi="宋体" w:eastAsia="宋体" w:cs="宋体"/>
        </w:rPr>
        <w:t>、图</w:t>
      </w:r>
      <w:r>
        <w:rPr>
          <w:rFonts w:ascii="宋体" w:hAnsi="宋体" w:eastAsia="宋体" w:cs="宋体"/>
        </w:rPr>
        <w:t>2-20</w:t>
      </w:r>
      <w:r>
        <w:rPr>
          <w:rFonts w:hint="eastAsia" w:ascii="宋体" w:hAnsi="宋体" w:eastAsia="宋体" w:cs="宋体"/>
        </w:rPr>
        <w:t>所示</w:t>
      </w:r>
      <w:r>
        <w:rPr>
          <w:rFonts w:hint="eastAsia" w:ascii="仿宋" w:hAnsi="仿宋" w:eastAsia="仿宋" w:cs="仿宋"/>
        </w:rPr>
        <w:t>：</w:t>
      </w:r>
    </w:p>
    <w:p>
      <w:pPr>
        <w:spacing w:after="0"/>
        <w:ind w:firstLine="0" w:firstLineChars="0"/>
        <w:jc w:val="center"/>
        <w:rPr>
          <w:rFonts w:ascii="仿宋" w:hAnsi="仿宋" w:eastAsia="仿宋" w:cs="仿宋"/>
        </w:rPr>
      </w:pPr>
      <w:r>
        <w:drawing>
          <wp:inline distT="0" distB="0" distL="0" distR="0">
            <wp:extent cx="5560695" cy="4017010"/>
            <wp:effectExtent l="0" t="0" r="1905" b="254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37"/>
                    <a:stretch>
                      <a:fillRect/>
                    </a:stretch>
                  </pic:blipFill>
                  <pic:spPr>
                    <a:xfrm>
                      <a:off x="0" y="0"/>
                      <a:ext cx="5560695" cy="401701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2-19</w:t>
      </w:r>
    </w:p>
    <w:p>
      <w:pPr>
        <w:spacing w:after="0"/>
        <w:ind w:firstLine="0" w:firstLineChars="0"/>
        <w:jc w:val="center"/>
        <w:rPr>
          <w:rFonts w:ascii="仿宋" w:hAnsi="仿宋" w:eastAsia="仿宋" w:cs="仿宋"/>
        </w:rPr>
      </w:pPr>
      <w:r>
        <w:rPr>
          <w:rFonts w:hint="eastAsia" w:ascii="仿宋" w:hAnsi="仿宋" w:eastAsia="仿宋" w:cs="仿宋"/>
        </w:rPr>
        <w:drawing>
          <wp:inline distT="0" distB="0" distL="114300" distR="114300">
            <wp:extent cx="5266055" cy="2505075"/>
            <wp:effectExtent l="0" t="0" r="6985" b="9525"/>
            <wp:docPr id="26"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true"/>
                    </pic:cNvPicPr>
                  </pic:nvPicPr>
                  <pic:blipFill>
                    <a:blip r:embed="rId38"/>
                    <a:stretch>
                      <a:fillRect/>
                    </a:stretch>
                  </pic:blipFill>
                  <pic:spPr>
                    <a:xfrm>
                      <a:off x="0" y="0"/>
                      <a:ext cx="5266055" cy="2505075"/>
                    </a:xfrm>
                    <a:prstGeom prst="rect">
                      <a:avLst/>
                    </a:prstGeom>
                    <a:noFill/>
                    <a:ln>
                      <a:noFill/>
                    </a:ln>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2-20</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申报情况预览</w:t>
      </w:r>
    </w:p>
    <w:p>
      <w:pPr>
        <w:numPr>
          <w:ilvl w:val="0"/>
          <w:numId w:val="15"/>
        </w:numPr>
        <w:spacing w:after="156" w:afterLines="50"/>
        <w:ind w:firstLineChars="0"/>
        <w:rPr>
          <w:rFonts w:ascii="宋体" w:hAnsi="宋体" w:eastAsia="宋体" w:cs="宋体"/>
        </w:rPr>
      </w:pPr>
      <w:r>
        <w:rPr>
          <w:rFonts w:hint="eastAsia" w:ascii="宋体" w:hAnsi="宋体" w:eastAsia="宋体" w:cs="宋体"/>
        </w:rPr>
        <w:t>可以预览已填报的所有信息及附件情况，右侧导航栏可以定位到需要查看的项目。如图</w:t>
      </w:r>
      <w:r>
        <w:rPr>
          <w:rFonts w:ascii="宋体" w:hAnsi="宋体" w:eastAsia="宋体" w:cs="宋体"/>
        </w:rPr>
        <w:t>2-21</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4201160"/>
            <wp:effectExtent l="0" t="0" r="1905" b="889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39"/>
                    <a:stretch>
                      <a:fillRect/>
                    </a:stretch>
                  </pic:blipFill>
                  <pic:spPr>
                    <a:xfrm>
                      <a:off x="0" y="0"/>
                      <a:ext cx="5560695" cy="420116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2-21</w:t>
      </w:r>
    </w:p>
    <w:p>
      <w:pPr>
        <w:pStyle w:val="5"/>
        <w:spacing w:before="120" w:after="120" w:line="360" w:lineRule="auto"/>
        <w:ind w:firstLine="0"/>
        <w:rPr>
          <w:rFonts w:asciiTheme="minorEastAsia" w:hAnsiTheme="minorEastAsia" w:eastAsiaTheme="minorEastAsia"/>
          <w:sz w:val="24"/>
        </w:rPr>
      </w:pPr>
      <w:r>
        <w:rPr>
          <w:rFonts w:hint="eastAsia" w:asciiTheme="minorEastAsia" w:hAnsiTheme="minorEastAsia" w:eastAsiaTheme="minorEastAsia"/>
          <w:sz w:val="24"/>
        </w:rPr>
        <w:t>提交审核</w:t>
      </w:r>
    </w:p>
    <w:p>
      <w:pPr>
        <w:numPr>
          <w:ilvl w:val="0"/>
          <w:numId w:val="16"/>
        </w:numPr>
        <w:spacing w:after="156" w:afterLines="50"/>
        <w:ind w:firstLineChars="0"/>
        <w:rPr>
          <w:rFonts w:ascii="宋体" w:hAnsi="宋体" w:eastAsia="宋体" w:cs="宋体"/>
        </w:rPr>
      </w:pPr>
      <w:r>
        <w:rPr>
          <w:rFonts w:hint="eastAsia" w:ascii="宋体" w:hAnsi="宋体" w:eastAsia="宋体" w:cs="宋体"/>
        </w:rPr>
        <w:t>所有申报材料录入结束后，点击“开始检测”，对申报材料的各项必备条件和正确性进行检测。</w:t>
      </w:r>
    </w:p>
    <w:p>
      <w:pPr>
        <w:numPr>
          <w:ilvl w:val="0"/>
          <w:numId w:val="16"/>
        </w:numPr>
        <w:spacing w:after="156" w:afterLines="50"/>
        <w:ind w:firstLineChars="0"/>
        <w:rPr>
          <w:rFonts w:ascii="宋体" w:hAnsi="宋体" w:eastAsia="宋体" w:cs="宋体"/>
        </w:rPr>
      </w:pPr>
      <w:r>
        <w:rPr>
          <w:rFonts w:hint="eastAsia" w:ascii="宋体" w:hAnsi="宋体" w:eastAsia="宋体" w:cs="宋体"/>
        </w:rPr>
        <w:t>当检测结果出现不符合时，不可提交，需补充完整材料信息才可进行提交审核。</w:t>
      </w:r>
    </w:p>
    <w:p>
      <w:pPr>
        <w:spacing w:after="156" w:afterLines="50"/>
        <w:ind w:firstLine="0" w:firstLineChars="0"/>
        <w:rPr>
          <w:rFonts w:ascii="宋体" w:hAnsi="宋体" w:eastAsia="宋体" w:cs="宋体"/>
        </w:rPr>
      </w:pPr>
      <w:r>
        <w:rPr>
          <w:rFonts w:hint="eastAsia" w:ascii="宋体" w:hAnsi="宋体" w:eastAsia="宋体" w:cs="宋体"/>
        </w:rPr>
        <w:t>如图</w:t>
      </w:r>
      <w:r>
        <w:rPr>
          <w:rFonts w:ascii="宋体" w:hAnsi="宋体" w:eastAsia="宋体" w:cs="宋体"/>
        </w:rPr>
        <w:t>2-22</w:t>
      </w:r>
      <w:r>
        <w:rPr>
          <w:rFonts w:hint="eastAsia" w:ascii="宋体" w:hAnsi="宋体" w:eastAsia="宋体" w:cs="宋体"/>
        </w:rPr>
        <w:t>、图</w:t>
      </w:r>
      <w:r>
        <w:rPr>
          <w:rFonts w:ascii="宋体" w:hAnsi="宋体" w:eastAsia="宋体" w:cs="宋体"/>
        </w:rPr>
        <w:t>2-23</w:t>
      </w:r>
      <w:r>
        <w:rPr>
          <w:rFonts w:hint="eastAsia" w:ascii="宋体" w:hAnsi="宋体" w:eastAsia="宋体" w:cs="宋体"/>
        </w:rPr>
        <w:t>所示：</w:t>
      </w:r>
    </w:p>
    <w:p>
      <w:pPr>
        <w:spacing w:after="0"/>
        <w:ind w:firstLine="0" w:firstLineChars="0"/>
        <w:jc w:val="center"/>
        <w:rPr>
          <w:rFonts w:ascii="仿宋" w:hAnsi="仿宋" w:eastAsia="仿宋" w:cs="仿宋"/>
        </w:rPr>
      </w:pPr>
      <w:r>
        <w:drawing>
          <wp:inline distT="0" distB="0" distL="0" distR="0">
            <wp:extent cx="5560695" cy="3737610"/>
            <wp:effectExtent l="0" t="0" r="1905"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40"/>
                    <a:stretch>
                      <a:fillRect/>
                    </a:stretch>
                  </pic:blipFill>
                  <pic:spPr>
                    <a:xfrm>
                      <a:off x="0" y="0"/>
                      <a:ext cx="5560695" cy="373761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2-22</w:t>
      </w:r>
    </w:p>
    <w:p>
      <w:pPr>
        <w:spacing w:after="0"/>
        <w:ind w:firstLine="0" w:firstLineChars="0"/>
        <w:jc w:val="center"/>
        <w:rPr>
          <w:rFonts w:ascii="仿宋" w:hAnsi="仿宋" w:eastAsia="仿宋" w:cs="仿宋"/>
        </w:rPr>
      </w:pPr>
      <w:r>
        <w:drawing>
          <wp:inline distT="0" distB="0" distL="0" distR="0">
            <wp:extent cx="5560695" cy="3519170"/>
            <wp:effectExtent l="0" t="0" r="1905" b="508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41"/>
                    <a:stretch>
                      <a:fillRect/>
                    </a:stretch>
                  </pic:blipFill>
                  <pic:spPr>
                    <a:xfrm>
                      <a:off x="0" y="0"/>
                      <a:ext cx="5560695" cy="351917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2-23</w:t>
      </w:r>
    </w:p>
    <w:p>
      <w:pPr>
        <w:spacing w:after="156" w:afterLines="50"/>
        <w:ind w:firstLine="0" w:firstLineChars="0"/>
        <w:rPr>
          <w:rFonts w:ascii="宋体" w:hAnsi="宋体" w:eastAsia="宋体" w:cs="宋体"/>
          <w:b/>
          <w:bCs/>
        </w:rPr>
      </w:pPr>
      <w:r>
        <w:rPr>
          <w:rFonts w:hint="eastAsia" w:cs="仿宋" w:asciiTheme="minorEastAsia" w:hAnsiTheme="minorEastAsia"/>
          <w:b/>
          <w:bCs/>
          <w:color w:val="C00000"/>
        </w:rPr>
        <w:t>注意：</w:t>
      </w:r>
      <w:r>
        <w:rPr>
          <w:rFonts w:hint="eastAsia" w:ascii="宋体" w:hAnsi="宋体" w:eastAsia="宋体" w:cs="宋体"/>
          <w:bCs/>
        </w:rPr>
        <w:t>若申报内容无法一次性录入完成，则每次录入后可先保存但不提交，待下次登录系统时，在学术和技术带头人页面点击“填报”即可继续录入信息（若申报计划填写错误，可点击“删除”，重新申报）。如图</w:t>
      </w:r>
      <w:r>
        <w:rPr>
          <w:rFonts w:ascii="宋体" w:hAnsi="宋体" w:eastAsia="宋体" w:cs="宋体"/>
          <w:bCs/>
        </w:rPr>
        <w:t>2-24</w:t>
      </w:r>
      <w:r>
        <w:rPr>
          <w:rFonts w:hint="eastAsia" w:ascii="宋体" w:hAnsi="宋体" w:eastAsia="宋体" w:cs="宋体"/>
          <w:bCs/>
        </w:rPr>
        <w:t>所示：</w:t>
      </w:r>
    </w:p>
    <w:p>
      <w:pPr>
        <w:spacing w:after="0"/>
        <w:ind w:firstLine="0" w:firstLineChars="0"/>
        <w:jc w:val="center"/>
        <w:rPr>
          <w:rFonts w:ascii="仿宋" w:hAnsi="仿宋" w:eastAsia="仿宋" w:cs="仿宋"/>
        </w:rPr>
      </w:pPr>
      <w:r>
        <w:drawing>
          <wp:inline distT="0" distB="0" distL="0" distR="0">
            <wp:extent cx="5560695" cy="2075815"/>
            <wp:effectExtent l="0" t="0" r="1905" b="635"/>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42"/>
                    <a:stretch>
                      <a:fillRect/>
                    </a:stretch>
                  </pic:blipFill>
                  <pic:spPr>
                    <a:xfrm>
                      <a:off x="0" y="0"/>
                      <a:ext cx="5560695" cy="207581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2-24</w:t>
      </w:r>
    </w:p>
    <w:p>
      <w:pPr>
        <w:pStyle w:val="2"/>
        <w:numPr>
          <w:ilvl w:val="0"/>
          <w:numId w:val="0"/>
        </w:numPr>
        <w:rPr>
          <w:rFonts w:cs="Times New Roman"/>
          <w:bCs/>
        </w:rPr>
      </w:pPr>
      <w:bookmarkStart w:id="10" w:name="_Toc141449063"/>
      <w:r>
        <w:rPr>
          <w:rFonts w:hint="eastAsia" w:cs="Times New Roman"/>
          <w:bCs/>
        </w:rPr>
        <w:t>三、个人中心</w:t>
      </w:r>
      <w:bookmarkEnd w:id="10"/>
    </w:p>
    <w:p>
      <w:pPr>
        <w:spacing w:after="156" w:afterLines="50"/>
        <w:ind w:firstLine="480"/>
        <w:rPr>
          <w:rFonts w:ascii="宋体" w:hAnsi="宋体" w:eastAsia="宋体" w:cs="宋体"/>
        </w:rPr>
      </w:pPr>
      <w:r>
        <w:rPr>
          <w:rFonts w:hint="eastAsia" w:ascii="宋体" w:hAnsi="宋体" w:eastAsia="宋体" w:cs="宋体"/>
        </w:rPr>
        <w:t>申报人员个人中心页面有个人信息及完善信息两部分内容。如图</w:t>
      </w:r>
      <w:r>
        <w:rPr>
          <w:rFonts w:ascii="宋体" w:hAnsi="宋体" w:eastAsia="宋体" w:cs="宋体"/>
        </w:rPr>
        <w:t>3</w:t>
      </w:r>
      <w:r>
        <w:rPr>
          <w:rFonts w:hint="eastAsia" w:ascii="宋体" w:hAnsi="宋体" w:eastAsia="宋体" w:cs="宋体"/>
        </w:rPr>
        <w:t>-1所示：</w:t>
      </w:r>
    </w:p>
    <w:p>
      <w:pPr>
        <w:numPr>
          <w:ilvl w:val="0"/>
          <w:numId w:val="17"/>
        </w:numPr>
        <w:spacing w:after="156" w:afterLines="50"/>
        <w:ind w:firstLineChars="0"/>
        <w:rPr>
          <w:rFonts w:ascii="宋体" w:hAnsi="宋体" w:eastAsia="宋体" w:cs="宋体"/>
        </w:rPr>
      </w:pPr>
      <w:r>
        <w:rPr>
          <w:rFonts w:hint="eastAsia" w:ascii="宋体" w:hAnsi="宋体" w:eastAsia="宋体" w:cs="宋体"/>
        </w:rPr>
        <w:t>个人信息：显示申报人员姓名、身份证号码、手机号码。</w:t>
      </w:r>
    </w:p>
    <w:p>
      <w:pPr>
        <w:numPr>
          <w:ilvl w:val="0"/>
          <w:numId w:val="17"/>
        </w:numPr>
        <w:spacing w:after="156" w:afterLines="50"/>
        <w:ind w:firstLineChars="0"/>
        <w:rPr>
          <w:rFonts w:ascii="宋体" w:hAnsi="宋体" w:eastAsia="宋体" w:cs="宋体"/>
        </w:rPr>
      </w:pPr>
      <w:r>
        <w:rPr>
          <w:rFonts w:hint="eastAsia" w:ascii="宋体" w:hAnsi="宋体" w:eastAsia="宋体" w:cs="宋体"/>
        </w:rPr>
        <w:t>完善信息：显示性别、出生日期、联系地址、工作单位等信息。点击“完善信息”按钮可对个人基本信息进行补充完善。如图</w:t>
      </w:r>
      <w:r>
        <w:rPr>
          <w:rFonts w:ascii="宋体" w:hAnsi="宋体" w:eastAsia="宋体" w:cs="宋体"/>
        </w:rPr>
        <w:t>3</w:t>
      </w:r>
      <w:r>
        <w:rPr>
          <w:rFonts w:hint="eastAsia" w:ascii="宋体" w:hAnsi="宋体" w:eastAsia="宋体" w:cs="宋体"/>
        </w:rPr>
        <w:t>-2所示：</w:t>
      </w:r>
    </w:p>
    <w:p>
      <w:pPr>
        <w:numPr>
          <w:ilvl w:val="0"/>
          <w:numId w:val="17"/>
        </w:numPr>
        <w:spacing w:after="156" w:afterLines="50"/>
        <w:ind w:firstLineChars="0"/>
        <w:rPr>
          <w:rFonts w:ascii="宋体" w:hAnsi="宋体" w:eastAsia="宋体" w:cs="宋体"/>
        </w:rPr>
      </w:pPr>
      <w:r>
        <w:rPr>
          <w:rFonts w:hint="eastAsia" w:ascii="宋体" w:hAnsi="宋体" w:eastAsia="宋体" w:cs="宋体"/>
        </w:rPr>
        <w:t>变更单位：点击“变更单位”按钮，可以重新绑定工作单位，待单位审核同意后生效。如图</w:t>
      </w:r>
      <w:r>
        <w:rPr>
          <w:rFonts w:ascii="宋体" w:hAnsi="宋体" w:eastAsia="宋体" w:cs="宋体"/>
        </w:rPr>
        <w:t>3</w:t>
      </w:r>
      <w:r>
        <w:rPr>
          <w:rFonts w:hint="eastAsia" w:ascii="宋体" w:hAnsi="宋体" w:eastAsia="宋体" w:cs="宋体"/>
        </w:rPr>
        <w:t>-3所示：</w:t>
      </w:r>
    </w:p>
    <w:p>
      <w:pPr>
        <w:spacing w:after="156" w:afterLines="50"/>
        <w:ind w:firstLine="0" w:firstLineChars="0"/>
        <w:rPr>
          <w:rFonts w:ascii="仿宋" w:hAnsi="仿宋" w:eastAsia="仿宋" w:cs="仿宋"/>
          <w:b/>
          <w:bCs/>
        </w:rPr>
      </w:pPr>
      <w:r>
        <w:rPr>
          <w:rFonts w:hint="eastAsia" w:ascii="仿宋" w:hAnsi="仿宋" w:cs="仿宋"/>
          <w:b/>
          <w:bCs/>
        </w:rPr>
        <w:t>注：首次点击“马上申报”按钮进入填报页面时，个人中心的基本信息将同步到填报页面，但在填报页面更改的基本信息不会同步到个人中心；已经处于填报状态时，在个人中心完善的信息也不会同步到填报页面。</w:t>
      </w:r>
    </w:p>
    <w:p>
      <w:pPr>
        <w:spacing w:after="0"/>
        <w:ind w:firstLine="0" w:firstLineChars="0"/>
        <w:jc w:val="center"/>
      </w:pPr>
      <w:r>
        <w:drawing>
          <wp:inline distT="0" distB="0" distL="0" distR="0">
            <wp:extent cx="5560695" cy="4314825"/>
            <wp:effectExtent l="0" t="0" r="1905" b="9525"/>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43"/>
                    <a:stretch>
                      <a:fillRect/>
                    </a:stretch>
                  </pic:blipFill>
                  <pic:spPr>
                    <a:xfrm>
                      <a:off x="0" y="0"/>
                      <a:ext cx="5560695" cy="431482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3</w:t>
      </w:r>
      <w:r>
        <w:rPr>
          <w:rFonts w:hint="eastAsia" w:ascii="宋体" w:hAnsi="宋体" w:eastAsia="宋体" w:cs="宋体"/>
        </w:rPr>
        <w:t>-1</w:t>
      </w:r>
    </w:p>
    <w:p>
      <w:pPr>
        <w:spacing w:after="0"/>
        <w:ind w:firstLine="0" w:firstLineChars="0"/>
        <w:jc w:val="center"/>
      </w:pPr>
      <w:r>
        <w:drawing>
          <wp:inline distT="0" distB="0" distL="0" distR="0">
            <wp:extent cx="5560695" cy="4232275"/>
            <wp:effectExtent l="0" t="0" r="1905"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44"/>
                    <a:stretch>
                      <a:fillRect/>
                    </a:stretch>
                  </pic:blipFill>
                  <pic:spPr>
                    <a:xfrm>
                      <a:off x="0" y="0"/>
                      <a:ext cx="5560695" cy="423227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3</w:t>
      </w:r>
      <w:r>
        <w:rPr>
          <w:rFonts w:hint="eastAsia" w:ascii="宋体" w:hAnsi="宋体" w:eastAsia="宋体" w:cs="宋体"/>
        </w:rPr>
        <w:t>-2</w:t>
      </w:r>
    </w:p>
    <w:p>
      <w:pPr>
        <w:spacing w:after="0"/>
        <w:ind w:firstLine="0" w:firstLineChars="0"/>
        <w:jc w:val="center"/>
      </w:pPr>
      <w:r>
        <w:drawing>
          <wp:inline distT="0" distB="0" distL="0" distR="0">
            <wp:extent cx="5560695" cy="4606290"/>
            <wp:effectExtent l="0" t="0" r="1905" b="381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pic:cNvPicPr>
                  </pic:nvPicPr>
                  <pic:blipFill>
                    <a:blip r:embed="rId45"/>
                    <a:stretch>
                      <a:fillRect/>
                    </a:stretch>
                  </pic:blipFill>
                  <pic:spPr>
                    <a:xfrm>
                      <a:off x="0" y="0"/>
                      <a:ext cx="5560695" cy="460629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3</w:t>
      </w:r>
      <w:r>
        <w:rPr>
          <w:rFonts w:hint="eastAsia" w:ascii="宋体" w:hAnsi="宋体" w:eastAsia="宋体" w:cs="宋体"/>
        </w:rPr>
        <w:t>-3</w:t>
      </w:r>
    </w:p>
    <w:p>
      <w:pPr>
        <w:ind w:firstLine="0" w:firstLineChars="0"/>
        <w:jc w:val="center"/>
        <w:rPr>
          <w:rFonts w:ascii="仿宋" w:hAnsi="仿宋" w:eastAsia="仿宋" w:cs="仿宋"/>
        </w:rPr>
      </w:pPr>
    </w:p>
    <w:bookmarkEnd w:id="11"/>
    <w:sectPr>
      <w:footerReference r:id="rId11" w:type="default"/>
      <w:pgSz w:w="11906" w:h="16838"/>
      <w:pgMar w:top="1440" w:right="1800" w:bottom="1440" w:left="1349"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rESr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V9d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VKxEqxYCAAAbBAAADgAAAAAAAAABACAAAAA1AQAAZHJzL2Uyb0RvYy54bWxQSwUGAAAAAAYA&#10;BgBZAQAAvQUAAAAA&#10;">
              <v:fill on="f" focussize="0,0"/>
              <v:stroke on="f" weight="0.5pt"/>
              <v:imagedata o:title=""/>
              <o:lock v:ext="edit" aspectratio="f"/>
              <v:textbox inset="0mm,0mm,0mm,0mm" style="mso-fit-shape-to-text:t;">
                <w:txbxContent>
                  <w:p>
                    <w:pPr>
                      <w:pStyle w:val="1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12"/>
                      <w:ind w:firstLine="36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C8D33"/>
    <w:multiLevelType w:val="singleLevel"/>
    <w:tmpl w:val="A17C8D33"/>
    <w:lvl w:ilvl="0" w:tentative="0">
      <w:start w:val="1"/>
      <w:numFmt w:val="bullet"/>
      <w:lvlText w:val=""/>
      <w:lvlJc w:val="left"/>
      <w:pPr>
        <w:ind w:left="420" w:hanging="420"/>
      </w:pPr>
      <w:rPr>
        <w:rFonts w:hint="default" w:ascii="Wingdings" w:hAnsi="Wingdings"/>
      </w:rPr>
    </w:lvl>
  </w:abstractNum>
  <w:abstractNum w:abstractNumId="1">
    <w:nsid w:val="CA08876B"/>
    <w:multiLevelType w:val="singleLevel"/>
    <w:tmpl w:val="CA08876B"/>
    <w:lvl w:ilvl="0" w:tentative="0">
      <w:start w:val="1"/>
      <w:numFmt w:val="decimal"/>
      <w:lvlText w:val="(%1)"/>
      <w:lvlJc w:val="left"/>
      <w:pPr>
        <w:ind w:left="425" w:hanging="425"/>
      </w:pPr>
      <w:rPr>
        <w:rFonts w:hint="default"/>
      </w:rPr>
    </w:lvl>
  </w:abstractNum>
  <w:abstractNum w:abstractNumId="2">
    <w:nsid w:val="CCC91F30"/>
    <w:multiLevelType w:val="singleLevel"/>
    <w:tmpl w:val="CCC91F30"/>
    <w:lvl w:ilvl="0" w:tentative="0">
      <w:start w:val="1"/>
      <w:numFmt w:val="bullet"/>
      <w:lvlText w:val=""/>
      <w:lvlJc w:val="left"/>
      <w:pPr>
        <w:ind w:left="420" w:hanging="420"/>
      </w:pPr>
      <w:rPr>
        <w:rFonts w:hint="default" w:ascii="Wingdings" w:hAnsi="Wingdings"/>
      </w:rPr>
    </w:lvl>
  </w:abstractNum>
  <w:abstractNum w:abstractNumId="3">
    <w:nsid w:val="D0375798"/>
    <w:multiLevelType w:val="singleLevel"/>
    <w:tmpl w:val="D0375798"/>
    <w:lvl w:ilvl="0" w:tentative="0">
      <w:start w:val="1"/>
      <w:numFmt w:val="bullet"/>
      <w:lvlText w:val=""/>
      <w:lvlJc w:val="left"/>
      <w:pPr>
        <w:ind w:left="420" w:hanging="420"/>
      </w:pPr>
      <w:rPr>
        <w:rFonts w:hint="default" w:ascii="Wingdings" w:hAnsi="Wingdings"/>
      </w:rPr>
    </w:lvl>
  </w:abstractNum>
  <w:abstractNum w:abstractNumId="4">
    <w:nsid w:val="D53EB704"/>
    <w:multiLevelType w:val="singleLevel"/>
    <w:tmpl w:val="D53EB704"/>
    <w:lvl w:ilvl="0" w:tentative="0">
      <w:start w:val="1"/>
      <w:numFmt w:val="bullet"/>
      <w:lvlText w:val=""/>
      <w:lvlJc w:val="left"/>
      <w:pPr>
        <w:ind w:left="420" w:hanging="420"/>
      </w:pPr>
      <w:rPr>
        <w:rFonts w:hint="default" w:ascii="Wingdings" w:hAnsi="Wingdings"/>
      </w:rPr>
    </w:lvl>
  </w:abstractNum>
  <w:abstractNum w:abstractNumId="5">
    <w:nsid w:val="E62B5611"/>
    <w:multiLevelType w:val="singleLevel"/>
    <w:tmpl w:val="E62B5611"/>
    <w:lvl w:ilvl="0" w:tentative="0">
      <w:start w:val="1"/>
      <w:numFmt w:val="bullet"/>
      <w:lvlText w:val=""/>
      <w:lvlJc w:val="left"/>
      <w:pPr>
        <w:ind w:left="420" w:hanging="420"/>
      </w:pPr>
      <w:rPr>
        <w:rFonts w:hint="default" w:ascii="Wingdings" w:hAnsi="Wingdings"/>
      </w:rPr>
    </w:lvl>
  </w:abstractNum>
  <w:abstractNum w:abstractNumId="6">
    <w:nsid w:val="02C90E22"/>
    <w:multiLevelType w:val="multilevel"/>
    <w:tmpl w:val="02C90E2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asciiTheme="minorEastAsia" w:hAnsiTheme="minorEastAsia" w:eastAsiaTheme="minorEastAsia"/>
        <w:sz w:val="24"/>
        <w:szCs w:val="24"/>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7">
    <w:nsid w:val="0ECA14E0"/>
    <w:multiLevelType w:val="singleLevel"/>
    <w:tmpl w:val="0ECA14E0"/>
    <w:lvl w:ilvl="0" w:tentative="0">
      <w:start w:val="1"/>
      <w:numFmt w:val="decimal"/>
      <w:lvlText w:val="(%1)"/>
      <w:lvlJc w:val="left"/>
      <w:pPr>
        <w:ind w:left="425" w:hanging="425"/>
      </w:pPr>
      <w:rPr>
        <w:rFonts w:hint="default"/>
      </w:rPr>
    </w:lvl>
  </w:abstractNum>
  <w:abstractNum w:abstractNumId="8">
    <w:nsid w:val="102B7717"/>
    <w:multiLevelType w:val="singleLevel"/>
    <w:tmpl w:val="102B7717"/>
    <w:lvl w:ilvl="0" w:tentative="0">
      <w:start w:val="1"/>
      <w:numFmt w:val="bullet"/>
      <w:lvlText w:val=""/>
      <w:lvlJc w:val="left"/>
      <w:pPr>
        <w:ind w:left="420" w:hanging="420"/>
      </w:pPr>
      <w:rPr>
        <w:rFonts w:hint="default" w:ascii="Wingdings" w:hAnsi="Wingdings"/>
      </w:rPr>
    </w:lvl>
  </w:abstractNum>
  <w:abstractNum w:abstractNumId="9">
    <w:nsid w:val="1A93DCC2"/>
    <w:multiLevelType w:val="singleLevel"/>
    <w:tmpl w:val="1A93DCC2"/>
    <w:lvl w:ilvl="0" w:tentative="0">
      <w:start w:val="1"/>
      <w:numFmt w:val="bullet"/>
      <w:lvlText w:val=""/>
      <w:lvlJc w:val="left"/>
      <w:pPr>
        <w:ind w:left="420" w:hanging="420"/>
      </w:pPr>
      <w:rPr>
        <w:rFonts w:hint="default" w:ascii="Wingdings" w:hAnsi="Wingdings"/>
      </w:rPr>
    </w:lvl>
  </w:abstractNum>
  <w:abstractNum w:abstractNumId="10">
    <w:nsid w:val="1D689129"/>
    <w:multiLevelType w:val="singleLevel"/>
    <w:tmpl w:val="1D689129"/>
    <w:lvl w:ilvl="0" w:tentative="0">
      <w:start w:val="1"/>
      <w:numFmt w:val="bullet"/>
      <w:lvlText w:val=""/>
      <w:lvlJc w:val="left"/>
      <w:pPr>
        <w:ind w:left="420" w:hanging="420"/>
      </w:pPr>
      <w:rPr>
        <w:rFonts w:hint="default" w:ascii="Wingdings" w:hAnsi="Wingdings"/>
      </w:rPr>
    </w:lvl>
  </w:abstractNum>
  <w:abstractNum w:abstractNumId="11">
    <w:nsid w:val="3B7C86B3"/>
    <w:multiLevelType w:val="singleLevel"/>
    <w:tmpl w:val="3B7C86B3"/>
    <w:lvl w:ilvl="0" w:tentative="0">
      <w:start w:val="1"/>
      <w:numFmt w:val="decimalEnclosedCircleChinese"/>
      <w:suff w:val="nothing"/>
      <w:lvlText w:val="%1　"/>
      <w:lvlJc w:val="left"/>
      <w:pPr>
        <w:ind w:left="0" w:firstLine="400"/>
      </w:pPr>
      <w:rPr>
        <w:rFonts w:hint="eastAsia"/>
      </w:rPr>
    </w:lvl>
  </w:abstractNum>
  <w:abstractNum w:abstractNumId="12">
    <w:nsid w:val="3BE62571"/>
    <w:multiLevelType w:val="singleLevel"/>
    <w:tmpl w:val="3BE62571"/>
    <w:lvl w:ilvl="0" w:tentative="0">
      <w:start w:val="1"/>
      <w:numFmt w:val="decimalEnclosedCircleChinese"/>
      <w:suff w:val="nothing"/>
      <w:lvlText w:val="%1　"/>
      <w:lvlJc w:val="left"/>
      <w:pPr>
        <w:ind w:left="420" w:firstLine="400"/>
      </w:pPr>
      <w:rPr>
        <w:rFonts w:hint="eastAsia"/>
      </w:rPr>
    </w:lvl>
  </w:abstractNum>
  <w:abstractNum w:abstractNumId="13">
    <w:nsid w:val="632EF4B3"/>
    <w:multiLevelType w:val="singleLevel"/>
    <w:tmpl w:val="632EF4B3"/>
    <w:lvl w:ilvl="0" w:tentative="0">
      <w:start w:val="1"/>
      <w:numFmt w:val="bullet"/>
      <w:lvlText w:val=""/>
      <w:lvlJc w:val="left"/>
      <w:pPr>
        <w:ind w:left="420" w:hanging="420"/>
      </w:pPr>
      <w:rPr>
        <w:rFonts w:hint="default" w:ascii="Wingdings" w:hAnsi="Wingdings"/>
      </w:rPr>
    </w:lvl>
  </w:abstractNum>
  <w:abstractNum w:abstractNumId="14">
    <w:nsid w:val="675083BE"/>
    <w:multiLevelType w:val="singleLevel"/>
    <w:tmpl w:val="675083BE"/>
    <w:lvl w:ilvl="0" w:tentative="0">
      <w:start w:val="1"/>
      <w:numFmt w:val="bullet"/>
      <w:lvlText w:val=""/>
      <w:lvlJc w:val="left"/>
      <w:pPr>
        <w:ind w:left="420" w:hanging="420"/>
      </w:pPr>
      <w:rPr>
        <w:rFonts w:hint="default" w:ascii="Wingdings" w:hAnsi="Wingdings"/>
      </w:rPr>
    </w:lvl>
  </w:abstractNum>
  <w:abstractNum w:abstractNumId="15">
    <w:nsid w:val="78E936CD"/>
    <w:multiLevelType w:val="singleLevel"/>
    <w:tmpl w:val="78E936CD"/>
    <w:lvl w:ilvl="0" w:tentative="0">
      <w:start w:val="1"/>
      <w:numFmt w:val="bullet"/>
      <w:lvlText w:val=""/>
      <w:lvlJc w:val="left"/>
      <w:pPr>
        <w:ind w:left="420" w:hanging="420"/>
      </w:pPr>
      <w:rPr>
        <w:rFonts w:hint="default" w:ascii="Wingdings" w:hAnsi="Wingdings"/>
      </w:rPr>
    </w:lvl>
  </w:abstractNum>
  <w:abstractNum w:abstractNumId="16">
    <w:nsid w:val="7D361456"/>
    <w:multiLevelType w:val="singleLevel"/>
    <w:tmpl w:val="7D361456"/>
    <w:lvl w:ilvl="0" w:tentative="0">
      <w:start w:val="1"/>
      <w:numFmt w:val="decimalEnclosedCircleChinese"/>
      <w:suff w:val="nothing"/>
      <w:lvlText w:val="%1　"/>
      <w:lvlJc w:val="left"/>
      <w:pPr>
        <w:ind w:left="0" w:firstLine="400"/>
      </w:pPr>
      <w:rPr>
        <w:rFonts w:hint="eastAsia"/>
        <w:color w:val="auto"/>
      </w:rPr>
    </w:lvl>
  </w:abstractNum>
  <w:num w:numId="1">
    <w:abstractNumId w:val="6"/>
  </w:num>
  <w:num w:numId="2">
    <w:abstractNumId w:val="1"/>
  </w:num>
  <w:num w:numId="3">
    <w:abstractNumId w:val="16"/>
  </w:num>
  <w:num w:numId="4">
    <w:abstractNumId w:val="7"/>
  </w:num>
  <w:num w:numId="5">
    <w:abstractNumId w:val="12"/>
  </w:num>
  <w:num w:numId="6">
    <w:abstractNumId w:val="14"/>
  </w:num>
  <w:num w:numId="7">
    <w:abstractNumId w:val="2"/>
  </w:num>
  <w:num w:numId="8">
    <w:abstractNumId w:val="10"/>
  </w:num>
  <w:num w:numId="9">
    <w:abstractNumId w:val="13"/>
  </w:num>
  <w:num w:numId="10">
    <w:abstractNumId w:val="4"/>
  </w:num>
  <w:num w:numId="11">
    <w:abstractNumId w:val="11"/>
  </w:num>
  <w:num w:numId="12">
    <w:abstractNumId w:val="9"/>
  </w:num>
  <w:num w:numId="13">
    <w:abstractNumId w:val="15"/>
  </w:num>
  <w:num w:numId="14">
    <w:abstractNumId w:val="5"/>
  </w:num>
  <w:num w:numId="15">
    <w:abstractNumId w:val="0"/>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jYzUzMWQ4OWI0YzBkYjYzMDRhZTY5ZjZkYmFmYTgifQ=="/>
  </w:docVars>
  <w:rsids>
    <w:rsidRoot w:val="016736E1"/>
    <w:rsid w:val="000121D0"/>
    <w:rsid w:val="0015046E"/>
    <w:rsid w:val="001627B5"/>
    <w:rsid w:val="00170EE9"/>
    <w:rsid w:val="00181933"/>
    <w:rsid w:val="003C21D0"/>
    <w:rsid w:val="00494F77"/>
    <w:rsid w:val="004F55B9"/>
    <w:rsid w:val="00591E8A"/>
    <w:rsid w:val="00962553"/>
    <w:rsid w:val="00A52CC4"/>
    <w:rsid w:val="00AB1025"/>
    <w:rsid w:val="00AB55DB"/>
    <w:rsid w:val="00C80B35"/>
    <w:rsid w:val="00CD788F"/>
    <w:rsid w:val="00D873A4"/>
    <w:rsid w:val="00E101F3"/>
    <w:rsid w:val="00E3363F"/>
    <w:rsid w:val="00F9257D"/>
    <w:rsid w:val="016736E1"/>
    <w:rsid w:val="02532161"/>
    <w:rsid w:val="02800373"/>
    <w:rsid w:val="02A3577C"/>
    <w:rsid w:val="03604B36"/>
    <w:rsid w:val="038801F4"/>
    <w:rsid w:val="03AA7B5F"/>
    <w:rsid w:val="04066040"/>
    <w:rsid w:val="0431202E"/>
    <w:rsid w:val="0439071F"/>
    <w:rsid w:val="052F6B3C"/>
    <w:rsid w:val="058A6084"/>
    <w:rsid w:val="05AD68C0"/>
    <w:rsid w:val="0612255A"/>
    <w:rsid w:val="06231E4A"/>
    <w:rsid w:val="06680BC8"/>
    <w:rsid w:val="06AA16C7"/>
    <w:rsid w:val="0740489B"/>
    <w:rsid w:val="076636D0"/>
    <w:rsid w:val="07804D69"/>
    <w:rsid w:val="09045F63"/>
    <w:rsid w:val="09440A55"/>
    <w:rsid w:val="09ED776E"/>
    <w:rsid w:val="0A061A8E"/>
    <w:rsid w:val="0A1C17D6"/>
    <w:rsid w:val="0B052344"/>
    <w:rsid w:val="0BA31A63"/>
    <w:rsid w:val="0C040028"/>
    <w:rsid w:val="0C1F5E9D"/>
    <w:rsid w:val="0CCD119C"/>
    <w:rsid w:val="0D001155"/>
    <w:rsid w:val="0D6C40D7"/>
    <w:rsid w:val="0EF403E8"/>
    <w:rsid w:val="0F5905AA"/>
    <w:rsid w:val="0F5A208A"/>
    <w:rsid w:val="0F6C6F0A"/>
    <w:rsid w:val="0FA14EE2"/>
    <w:rsid w:val="1017657C"/>
    <w:rsid w:val="101C72AE"/>
    <w:rsid w:val="10463305"/>
    <w:rsid w:val="10AD5132"/>
    <w:rsid w:val="10D46270"/>
    <w:rsid w:val="115D17E2"/>
    <w:rsid w:val="11EA52ED"/>
    <w:rsid w:val="11F03564"/>
    <w:rsid w:val="120F7985"/>
    <w:rsid w:val="12513B6A"/>
    <w:rsid w:val="12573D31"/>
    <w:rsid w:val="128B5E90"/>
    <w:rsid w:val="12DD1CFF"/>
    <w:rsid w:val="13B01E32"/>
    <w:rsid w:val="13E32C65"/>
    <w:rsid w:val="148F7F78"/>
    <w:rsid w:val="161101BF"/>
    <w:rsid w:val="16171992"/>
    <w:rsid w:val="16557DFE"/>
    <w:rsid w:val="16774218"/>
    <w:rsid w:val="16A357CF"/>
    <w:rsid w:val="16CA4A65"/>
    <w:rsid w:val="16DA55F9"/>
    <w:rsid w:val="1789104D"/>
    <w:rsid w:val="17D02983"/>
    <w:rsid w:val="18324BFA"/>
    <w:rsid w:val="183A7A26"/>
    <w:rsid w:val="18643736"/>
    <w:rsid w:val="18691617"/>
    <w:rsid w:val="186D58D3"/>
    <w:rsid w:val="18982224"/>
    <w:rsid w:val="18B3407D"/>
    <w:rsid w:val="195720DF"/>
    <w:rsid w:val="19E06C87"/>
    <w:rsid w:val="1A3F329F"/>
    <w:rsid w:val="1A4117BE"/>
    <w:rsid w:val="1ADA2FC8"/>
    <w:rsid w:val="1B0B13D3"/>
    <w:rsid w:val="1B197F4A"/>
    <w:rsid w:val="1BB51115"/>
    <w:rsid w:val="1C752FA8"/>
    <w:rsid w:val="1D23452D"/>
    <w:rsid w:val="1D290C10"/>
    <w:rsid w:val="1D4A3634"/>
    <w:rsid w:val="1D682B0D"/>
    <w:rsid w:val="1DAA4673"/>
    <w:rsid w:val="1DC00F86"/>
    <w:rsid w:val="1E43286A"/>
    <w:rsid w:val="1E6E4153"/>
    <w:rsid w:val="1F2E720B"/>
    <w:rsid w:val="1FAC6643"/>
    <w:rsid w:val="1FF561AE"/>
    <w:rsid w:val="201400DE"/>
    <w:rsid w:val="20523600"/>
    <w:rsid w:val="20DC4193"/>
    <w:rsid w:val="22027702"/>
    <w:rsid w:val="22BB723B"/>
    <w:rsid w:val="22C50CFA"/>
    <w:rsid w:val="22CE4993"/>
    <w:rsid w:val="23306B80"/>
    <w:rsid w:val="237A1DF6"/>
    <w:rsid w:val="23E9602A"/>
    <w:rsid w:val="243C276E"/>
    <w:rsid w:val="24A83AE3"/>
    <w:rsid w:val="24BE3F50"/>
    <w:rsid w:val="25477669"/>
    <w:rsid w:val="254D7B4C"/>
    <w:rsid w:val="25757B75"/>
    <w:rsid w:val="2613047E"/>
    <w:rsid w:val="26BA7B53"/>
    <w:rsid w:val="27010485"/>
    <w:rsid w:val="27042476"/>
    <w:rsid w:val="27051441"/>
    <w:rsid w:val="276500BD"/>
    <w:rsid w:val="27750300"/>
    <w:rsid w:val="28907AF4"/>
    <w:rsid w:val="289D5B7C"/>
    <w:rsid w:val="29E5358E"/>
    <w:rsid w:val="2A12581B"/>
    <w:rsid w:val="2A2C4823"/>
    <w:rsid w:val="2A7A7CFB"/>
    <w:rsid w:val="2A7E75EB"/>
    <w:rsid w:val="2C94264B"/>
    <w:rsid w:val="2C9F5E1F"/>
    <w:rsid w:val="2CD51841"/>
    <w:rsid w:val="2D901576"/>
    <w:rsid w:val="2E4C5B33"/>
    <w:rsid w:val="2E7A46FE"/>
    <w:rsid w:val="2E8C7518"/>
    <w:rsid w:val="2EAD5F83"/>
    <w:rsid w:val="2EE10FC2"/>
    <w:rsid w:val="2EF300C3"/>
    <w:rsid w:val="30D105B1"/>
    <w:rsid w:val="31992E3D"/>
    <w:rsid w:val="31F55F59"/>
    <w:rsid w:val="32132BEF"/>
    <w:rsid w:val="33953D31"/>
    <w:rsid w:val="33B36D87"/>
    <w:rsid w:val="359D38BA"/>
    <w:rsid w:val="36077F15"/>
    <w:rsid w:val="360C3472"/>
    <w:rsid w:val="36AE1139"/>
    <w:rsid w:val="36C276A8"/>
    <w:rsid w:val="36C32DEB"/>
    <w:rsid w:val="37067F42"/>
    <w:rsid w:val="373D7FCC"/>
    <w:rsid w:val="37781747"/>
    <w:rsid w:val="38AE6228"/>
    <w:rsid w:val="38B51099"/>
    <w:rsid w:val="38C870C7"/>
    <w:rsid w:val="38F97439"/>
    <w:rsid w:val="396D61FB"/>
    <w:rsid w:val="39706B79"/>
    <w:rsid w:val="397406C4"/>
    <w:rsid w:val="3A000F30"/>
    <w:rsid w:val="3A023FD8"/>
    <w:rsid w:val="3A030B34"/>
    <w:rsid w:val="3A6506DE"/>
    <w:rsid w:val="3BC42241"/>
    <w:rsid w:val="3BF06A62"/>
    <w:rsid w:val="3BFB320A"/>
    <w:rsid w:val="3C3A02DA"/>
    <w:rsid w:val="3CAE6C6D"/>
    <w:rsid w:val="3CD72D3F"/>
    <w:rsid w:val="3CD83AC4"/>
    <w:rsid w:val="3D0A1093"/>
    <w:rsid w:val="3D24248B"/>
    <w:rsid w:val="3D3B7A1A"/>
    <w:rsid w:val="3D527C28"/>
    <w:rsid w:val="3E8C5646"/>
    <w:rsid w:val="3EB02A77"/>
    <w:rsid w:val="3EE27AF1"/>
    <w:rsid w:val="3FEF28C9"/>
    <w:rsid w:val="40143445"/>
    <w:rsid w:val="40517BE5"/>
    <w:rsid w:val="407B40C8"/>
    <w:rsid w:val="41303ECE"/>
    <w:rsid w:val="41941871"/>
    <w:rsid w:val="424502DF"/>
    <w:rsid w:val="426458E3"/>
    <w:rsid w:val="42BD7A67"/>
    <w:rsid w:val="44DE1A05"/>
    <w:rsid w:val="45725371"/>
    <w:rsid w:val="45F778D3"/>
    <w:rsid w:val="46575C20"/>
    <w:rsid w:val="46E25A9C"/>
    <w:rsid w:val="481416FE"/>
    <w:rsid w:val="48370C02"/>
    <w:rsid w:val="495C6ADA"/>
    <w:rsid w:val="496318B2"/>
    <w:rsid w:val="498A411F"/>
    <w:rsid w:val="49FB3FEA"/>
    <w:rsid w:val="4A6B2030"/>
    <w:rsid w:val="4A745D9D"/>
    <w:rsid w:val="4AD12EBB"/>
    <w:rsid w:val="4B052DA3"/>
    <w:rsid w:val="4B6A4360"/>
    <w:rsid w:val="4B985E22"/>
    <w:rsid w:val="4C003D8D"/>
    <w:rsid w:val="4E707BE2"/>
    <w:rsid w:val="4ED03489"/>
    <w:rsid w:val="4FBE01E7"/>
    <w:rsid w:val="500951DA"/>
    <w:rsid w:val="502F4C40"/>
    <w:rsid w:val="51A004DC"/>
    <w:rsid w:val="538A50AB"/>
    <w:rsid w:val="54527ABE"/>
    <w:rsid w:val="549121C7"/>
    <w:rsid w:val="55F57B0F"/>
    <w:rsid w:val="56097CE2"/>
    <w:rsid w:val="56F24844"/>
    <w:rsid w:val="57076CD1"/>
    <w:rsid w:val="57281724"/>
    <w:rsid w:val="57580313"/>
    <w:rsid w:val="5838665C"/>
    <w:rsid w:val="5883183D"/>
    <w:rsid w:val="588F1EAD"/>
    <w:rsid w:val="589C5130"/>
    <w:rsid w:val="58E42340"/>
    <w:rsid w:val="59101387"/>
    <w:rsid w:val="591F4FAE"/>
    <w:rsid w:val="595F2F08"/>
    <w:rsid w:val="5A9B1124"/>
    <w:rsid w:val="5B303F0F"/>
    <w:rsid w:val="5B922527"/>
    <w:rsid w:val="5C1218FE"/>
    <w:rsid w:val="5C450154"/>
    <w:rsid w:val="5CB550BF"/>
    <w:rsid w:val="5D1E6941"/>
    <w:rsid w:val="5D6579D6"/>
    <w:rsid w:val="5D780304"/>
    <w:rsid w:val="5D7C0427"/>
    <w:rsid w:val="5E0A2247"/>
    <w:rsid w:val="5E1611EE"/>
    <w:rsid w:val="5E3277FD"/>
    <w:rsid w:val="5E9C7445"/>
    <w:rsid w:val="60935883"/>
    <w:rsid w:val="60C72C73"/>
    <w:rsid w:val="618464EB"/>
    <w:rsid w:val="61BD4C8B"/>
    <w:rsid w:val="61DA24CD"/>
    <w:rsid w:val="6237343A"/>
    <w:rsid w:val="624A33C1"/>
    <w:rsid w:val="628841B8"/>
    <w:rsid w:val="62AF39BF"/>
    <w:rsid w:val="63902479"/>
    <w:rsid w:val="63CA614A"/>
    <w:rsid w:val="66A419FE"/>
    <w:rsid w:val="66D131C7"/>
    <w:rsid w:val="67642382"/>
    <w:rsid w:val="6784010A"/>
    <w:rsid w:val="683B65DE"/>
    <w:rsid w:val="686B7291"/>
    <w:rsid w:val="68923B67"/>
    <w:rsid w:val="69586B5E"/>
    <w:rsid w:val="6B5C2BC3"/>
    <w:rsid w:val="6C027255"/>
    <w:rsid w:val="6C097B2E"/>
    <w:rsid w:val="6C3B366D"/>
    <w:rsid w:val="6C69261A"/>
    <w:rsid w:val="6C9360FF"/>
    <w:rsid w:val="6CC32F41"/>
    <w:rsid w:val="6D013069"/>
    <w:rsid w:val="6D3659DA"/>
    <w:rsid w:val="6D480C98"/>
    <w:rsid w:val="6D586A0C"/>
    <w:rsid w:val="6D5939A1"/>
    <w:rsid w:val="6D826C95"/>
    <w:rsid w:val="6DAB52C8"/>
    <w:rsid w:val="6DF80910"/>
    <w:rsid w:val="6E1F5FE7"/>
    <w:rsid w:val="6E822D7E"/>
    <w:rsid w:val="6F1F65C5"/>
    <w:rsid w:val="70EF7B22"/>
    <w:rsid w:val="713B181E"/>
    <w:rsid w:val="71643E1D"/>
    <w:rsid w:val="72026562"/>
    <w:rsid w:val="726E11A1"/>
    <w:rsid w:val="72BF024A"/>
    <w:rsid w:val="73357F10"/>
    <w:rsid w:val="73555EBD"/>
    <w:rsid w:val="738400A2"/>
    <w:rsid w:val="73AB5EC8"/>
    <w:rsid w:val="74EC45FF"/>
    <w:rsid w:val="75752703"/>
    <w:rsid w:val="75CE7FD0"/>
    <w:rsid w:val="76351D1F"/>
    <w:rsid w:val="764674AC"/>
    <w:rsid w:val="766073E2"/>
    <w:rsid w:val="774D6546"/>
    <w:rsid w:val="788D434B"/>
    <w:rsid w:val="78CB0AC7"/>
    <w:rsid w:val="79221055"/>
    <w:rsid w:val="79A100AE"/>
    <w:rsid w:val="79BE6D3F"/>
    <w:rsid w:val="79C8563A"/>
    <w:rsid w:val="7B39598D"/>
    <w:rsid w:val="7B886713"/>
    <w:rsid w:val="7B897636"/>
    <w:rsid w:val="7BA064F2"/>
    <w:rsid w:val="7BCF4057"/>
    <w:rsid w:val="7C6635DC"/>
    <w:rsid w:val="7C8B5E27"/>
    <w:rsid w:val="7CE94F06"/>
    <w:rsid w:val="7DAB31EF"/>
    <w:rsid w:val="7DDB4555"/>
    <w:rsid w:val="7DF60F6D"/>
    <w:rsid w:val="7DFD35C5"/>
    <w:rsid w:val="7E1F41CD"/>
    <w:rsid w:val="7E7A38E3"/>
    <w:rsid w:val="B2F9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602"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460" w:after="140" w:line="576" w:lineRule="auto"/>
      <w:ind w:firstLineChars="0"/>
      <w:outlineLvl w:val="0"/>
    </w:pPr>
    <w:rPr>
      <w:b/>
      <w:kern w:val="44"/>
      <w:sz w:val="28"/>
    </w:rPr>
  </w:style>
  <w:style w:type="paragraph" w:styleId="3">
    <w:name w:val="heading 2"/>
    <w:basedOn w:val="1"/>
    <w:next w:val="1"/>
    <w:unhideWhenUsed/>
    <w:qFormat/>
    <w:uiPriority w:val="0"/>
    <w:pPr>
      <w:keepNext/>
      <w:keepLines/>
      <w:numPr>
        <w:ilvl w:val="1"/>
        <w:numId w:val="1"/>
      </w:numPr>
      <w:spacing w:before="260" w:after="140"/>
      <w:ind w:firstLineChars="0"/>
      <w:jc w:val="left"/>
      <w:outlineLvl w:val="1"/>
    </w:pPr>
    <w:rPr>
      <w:rFonts w:ascii="Arial" w:hAnsi="Arial" w:eastAsia="宋体"/>
      <w:b/>
    </w:rPr>
  </w:style>
  <w:style w:type="paragraph" w:styleId="4">
    <w:name w:val="heading 3"/>
    <w:basedOn w:val="1"/>
    <w:next w:val="1"/>
    <w:link w:val="26"/>
    <w:unhideWhenUsed/>
    <w:qFormat/>
    <w:uiPriority w:val="0"/>
    <w:pPr>
      <w:keepNext/>
      <w:keepLines/>
      <w:numPr>
        <w:ilvl w:val="2"/>
        <w:numId w:val="1"/>
      </w:numPr>
      <w:spacing w:before="260" w:after="140" w:line="413" w:lineRule="auto"/>
      <w:ind w:firstLine="403" w:firstLineChars="0"/>
      <w:outlineLvl w:val="2"/>
    </w:pPr>
    <w:rPr>
      <w:b/>
    </w:rPr>
  </w:style>
  <w:style w:type="paragraph" w:styleId="5">
    <w:name w:val="heading 4"/>
    <w:basedOn w:val="1"/>
    <w:next w:val="1"/>
    <w:unhideWhenUsed/>
    <w:qFormat/>
    <w:uiPriority w:val="0"/>
    <w:pPr>
      <w:keepNext/>
      <w:keepLines/>
      <w:numPr>
        <w:ilvl w:val="3"/>
        <w:numId w:val="1"/>
      </w:numPr>
      <w:spacing w:before="280" w:after="290" w:line="372" w:lineRule="auto"/>
      <w:ind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18">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style>
  <w:style w:type="paragraph" w:styleId="15">
    <w:name w:val="toc 2"/>
    <w:basedOn w:val="1"/>
    <w:next w:val="1"/>
    <w:qFormat/>
    <w:uiPriority w:val="39"/>
    <w:pPr>
      <w:ind w:left="420" w:leftChars="200"/>
    </w:pPr>
  </w:style>
  <w:style w:type="paragraph" w:styleId="16">
    <w:name w:val="Normal (Web)"/>
    <w:basedOn w:val="1"/>
    <w:qFormat/>
    <w:uiPriority w:val="0"/>
    <w:pPr>
      <w:spacing w:before="0" w:after="0"/>
      <w:jc w:val="left"/>
    </w:pPr>
    <w:rPr>
      <w:rFonts w:cs="Times New Roman"/>
      <w:kern w:val="0"/>
    </w:rPr>
  </w:style>
  <w:style w:type="character" w:styleId="19">
    <w:name w:val="Strong"/>
    <w:basedOn w:val="18"/>
    <w:qFormat/>
    <w:uiPriority w:val="0"/>
    <w:rPr>
      <w:b/>
    </w:rPr>
  </w:style>
  <w:style w:type="character" w:styleId="20">
    <w:name w:val="Hyperlink"/>
    <w:basedOn w:val="18"/>
    <w:qFormat/>
    <w:uiPriority w:val="99"/>
    <w:rPr>
      <w:color w:val="0000FF"/>
      <w:u w:val="single"/>
    </w:rPr>
  </w:style>
  <w:style w:type="paragraph" w:styleId="21">
    <w:name w:val="List Paragraph"/>
    <w:basedOn w:val="1"/>
    <w:qFormat/>
    <w:uiPriority w:val="34"/>
    <w:pPr>
      <w:ind w:firstLine="420"/>
    </w:pPr>
  </w:style>
  <w:style w:type="paragraph" w:customStyle="1" w:styleId="22">
    <w:name w:val="样式1"/>
    <w:basedOn w:val="1"/>
    <w:qFormat/>
    <w:uiPriority w:val="0"/>
    <w:pPr>
      <w:ind w:firstLine="562"/>
    </w:p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6">
    <w:name w:val="标题 3 字符"/>
    <w:basedOn w:val="18"/>
    <w:link w:val="4"/>
    <w:qFormat/>
    <w:uiPriority w:val="0"/>
    <w:rPr>
      <w:rFonts w:asciiTheme="minorHAnsi" w:hAnsiTheme="minorHAnsi" w:eastAsiaTheme="minorEastAsia" w:cstheme="minorBidi"/>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713</Words>
  <Characters>4070</Characters>
  <Lines>33</Lines>
  <Paragraphs>9</Paragraphs>
  <TotalTime>0</TotalTime>
  <ScaleCrop>false</ScaleCrop>
  <LinksUpToDate>false</LinksUpToDate>
  <CharactersWithSpaces>4774</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2020-05-29T14:39:00Z</dcterms:created>
  <dc:creator>李凤琴</dc:creator>
  <cp:lastModifiedBy>李永坤</cp:lastModifiedBy>
  <cp:lastPrinted>2019-07-10T09:09:00Z</cp:lastPrinted>
  <dcterms:modified xsi:type="dcterms:W3CDTF">2023-08-04T16:09:15Z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81D1E5B271F643668B1942A52573814B_13</vt:lpwstr>
  </property>
</Properties>
</file>